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1B95C7E2"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267EE4">
        <w:rPr>
          <w:rFonts w:ascii="Arial" w:hAnsi="Arial" w:cs="Arial"/>
        </w:rPr>
        <w:t>6</w:t>
      </w:r>
      <w:r w:rsidR="00B548DA" w:rsidRPr="00765F24">
        <w:rPr>
          <w:rFonts w:ascii="Arial" w:hAnsi="Arial" w:cs="Arial"/>
        </w:rPr>
        <w:tab/>
      </w:r>
      <w:r w:rsidR="008E1D88" w:rsidRPr="00765F24">
        <w:rPr>
          <w:rFonts w:ascii="Arial" w:hAnsi="Arial" w:cs="Arial"/>
        </w:rPr>
        <w:t>R2-</w:t>
      </w:r>
      <w:r w:rsidR="00CA3D5E" w:rsidRPr="00CA3D5E">
        <w:rPr>
          <w:rFonts w:ascii="Arial" w:hAnsi="Arial" w:cs="Arial"/>
        </w:rPr>
        <w:t>1906736</w:t>
      </w:r>
    </w:p>
    <w:p w14:paraId="7A9879CD" w14:textId="5713D161" w:rsidR="00584ABE" w:rsidRPr="00F42AC8" w:rsidRDefault="00267EE4" w:rsidP="005923F4">
      <w:pPr>
        <w:pStyle w:val="3GPPHeader"/>
        <w:spacing w:after="60"/>
        <w:rPr>
          <w:rFonts w:ascii="Arial" w:hAnsi="Arial" w:cs="Arial"/>
          <w:b w:val="0"/>
          <w:noProof/>
        </w:rPr>
      </w:pPr>
      <w:r>
        <w:rPr>
          <w:rFonts w:ascii="Arial" w:hAnsi="Arial" w:cs="Arial"/>
        </w:rPr>
        <w:t>Reno</w:t>
      </w:r>
      <w:r w:rsidR="00F42AC8" w:rsidRPr="00F42AC8">
        <w:rPr>
          <w:rFonts w:ascii="Arial" w:hAnsi="Arial" w:cs="Arial"/>
        </w:rPr>
        <w:t xml:space="preserve">, </w:t>
      </w:r>
      <w:r>
        <w:rPr>
          <w:rFonts w:ascii="Arial" w:hAnsi="Arial" w:cs="Arial"/>
        </w:rPr>
        <w:t>USA</w:t>
      </w:r>
      <w:r w:rsidR="00F42AC8" w:rsidRPr="00F42AC8">
        <w:rPr>
          <w:rFonts w:ascii="Arial" w:hAnsi="Arial" w:cs="Arial"/>
        </w:rPr>
        <w:t xml:space="preserve">, </w:t>
      </w:r>
      <w:r>
        <w:rPr>
          <w:rFonts w:ascii="Arial" w:hAnsi="Arial" w:cs="Arial"/>
        </w:rPr>
        <w:t>13</w:t>
      </w:r>
      <w:r w:rsidR="000E3EF9">
        <w:rPr>
          <w:rFonts w:ascii="Arial" w:hAnsi="Arial" w:cs="Arial"/>
        </w:rPr>
        <w:t>th</w:t>
      </w:r>
      <w:r w:rsidR="00F42AC8" w:rsidRPr="00F42AC8">
        <w:rPr>
          <w:rFonts w:ascii="Arial" w:hAnsi="Arial" w:cs="Arial"/>
        </w:rPr>
        <w:t xml:space="preserve"> </w:t>
      </w:r>
      <w:r w:rsidR="00A90F30">
        <w:rPr>
          <w:rFonts w:ascii="Arial" w:hAnsi="Arial" w:cs="Arial"/>
        </w:rPr>
        <w:t>May</w:t>
      </w:r>
      <w:r w:rsidR="00A90F30" w:rsidRPr="00F42AC8">
        <w:rPr>
          <w:rFonts w:ascii="Arial" w:hAnsi="Arial" w:cs="Arial"/>
        </w:rPr>
        <w:t xml:space="preserve"> </w:t>
      </w:r>
      <w:r w:rsidR="000E3EF9">
        <w:rPr>
          <w:rFonts w:ascii="Arial" w:hAnsi="Arial" w:cs="Arial"/>
        </w:rPr>
        <w:t>–</w:t>
      </w:r>
      <w:r w:rsidR="00F42AC8" w:rsidRPr="00F42AC8">
        <w:rPr>
          <w:rFonts w:ascii="Arial" w:hAnsi="Arial" w:cs="Arial"/>
        </w:rPr>
        <w:t xml:space="preserve"> 1</w:t>
      </w:r>
      <w:r>
        <w:rPr>
          <w:rFonts w:ascii="Arial" w:hAnsi="Arial" w:cs="Arial"/>
        </w:rPr>
        <w:t>7</w:t>
      </w:r>
      <w:r w:rsidR="000E3EF9">
        <w:rPr>
          <w:rFonts w:ascii="Arial" w:hAnsi="Arial" w:cs="Arial"/>
        </w:rPr>
        <w:t>th</w:t>
      </w:r>
      <w:r w:rsidR="00F42AC8" w:rsidRPr="00F42AC8">
        <w:rPr>
          <w:rFonts w:ascii="Arial" w:hAnsi="Arial" w:cs="Arial"/>
        </w:rPr>
        <w:t xml:space="preserve"> </w:t>
      </w:r>
      <w:r>
        <w:rPr>
          <w:rFonts w:ascii="Arial" w:hAnsi="Arial" w:cs="Arial"/>
        </w:rPr>
        <w:t>May</w:t>
      </w:r>
      <w:r w:rsidR="00F42AC8"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5C21F231"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t>1</w:t>
      </w:r>
      <w:r w:rsidR="00D37345" w:rsidRPr="002B2378">
        <w:rPr>
          <w:rFonts w:ascii="Arial" w:hAnsi="Arial" w:cs="Arial"/>
          <w:sz w:val="22"/>
        </w:rPr>
        <w:t>1</w:t>
      </w:r>
      <w:r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AA0955">
        <w:rPr>
          <w:rFonts w:ascii="Arial" w:hAnsi="Arial" w:cs="Arial"/>
          <w:sz w:val="22"/>
        </w:rPr>
        <w:t>2.1</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1D553621"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504A94">
        <w:rPr>
          <w:rFonts w:ascii="Arial" w:hAnsi="Arial" w:cs="Arial"/>
          <w:sz w:val="22"/>
        </w:rPr>
        <w:t>Earlier</w:t>
      </w:r>
      <w:r w:rsidR="0000130C">
        <w:rPr>
          <w:rFonts w:ascii="Arial" w:hAnsi="Arial" w:cs="Arial"/>
          <w:sz w:val="22"/>
        </w:rPr>
        <w:t xml:space="preserve"> termination for PDCCH monitoring in NR-U</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7A2625B1" w14:textId="0DB02490" w:rsidR="006C0576" w:rsidRPr="006C0576" w:rsidRDefault="006C0576" w:rsidP="006C0576">
      <w:pPr>
        <w:rPr>
          <w:rFonts w:ascii="Times New Roman" w:hAnsi="Times New Roman" w:cs="Times New Roman"/>
          <w:color w:val="000000" w:themeColor="text1"/>
        </w:rPr>
      </w:pPr>
      <w:bookmarkStart w:id="1" w:name="_Ref462918989"/>
      <w:r w:rsidRPr="006C0576">
        <w:rPr>
          <w:rFonts w:ascii="Times New Roman" w:hAnsi="Times New Roman" w:cs="Times New Roman"/>
          <w:color w:val="000000" w:themeColor="text1"/>
        </w:rPr>
        <w:t>RAN1 is currently discussing initial signal design for detection of DL COT. The agreement of this signal in RAN1 ad-Hoc 1901 is following</w:t>
      </w:r>
      <w:r w:rsidR="0083290E">
        <w:rPr>
          <w:rFonts w:ascii="Times New Roman" w:hAnsi="Times New Roman" w:cs="Times New Roman"/>
          <w:color w:val="000000" w:themeColor="text1"/>
        </w:rPr>
        <w:t xml:space="preserve"> </w:t>
      </w:r>
      <w:r w:rsidR="0083290E" w:rsidRPr="006C0576">
        <w:rPr>
          <w:rFonts w:ascii="Times New Roman" w:hAnsi="Times New Roman" w:cs="Times New Roman"/>
          <w:color w:val="000000" w:themeColor="text1"/>
        </w:rPr>
        <w:t>[</w:t>
      </w:r>
      <w:r w:rsidR="0083290E">
        <w:rPr>
          <w:rFonts w:ascii="Times New Roman" w:hAnsi="Times New Roman" w:cs="Times New Roman"/>
          <w:color w:val="000000" w:themeColor="text1"/>
        </w:rPr>
        <w:t>1</w:t>
      </w:r>
      <w:r w:rsidR="0083290E" w:rsidRPr="006C0576">
        <w:rPr>
          <w:rFonts w:ascii="Times New Roman" w:hAnsi="Times New Roman" w:cs="Times New Roman"/>
          <w:color w:val="000000" w:themeColor="text1"/>
        </w:rPr>
        <w:t>]</w:t>
      </w:r>
      <w:r w:rsidRPr="006C0576">
        <w:rPr>
          <w:rFonts w:ascii="Times New Roman" w:hAnsi="Times New Roman" w:cs="Times New Roman"/>
          <w:color w:val="000000" w:themeColor="text1"/>
        </w:rPr>
        <w:t>.</w:t>
      </w:r>
    </w:p>
    <w:tbl>
      <w:tblPr>
        <w:tblStyle w:val="TableGrid"/>
        <w:tblW w:w="0" w:type="auto"/>
        <w:tblLook w:val="04A0" w:firstRow="1" w:lastRow="0" w:firstColumn="1" w:lastColumn="0" w:noHBand="0" w:noVBand="1"/>
      </w:tblPr>
      <w:tblGrid>
        <w:gridCol w:w="9631"/>
      </w:tblGrid>
      <w:tr w:rsidR="006C0576" w:rsidRPr="006C0576" w14:paraId="73D02BA9" w14:textId="77777777" w:rsidTr="006C0576">
        <w:tc>
          <w:tcPr>
            <w:tcW w:w="9631" w:type="dxa"/>
            <w:tcBorders>
              <w:top w:val="single" w:sz="4" w:space="0" w:color="auto"/>
              <w:left w:val="single" w:sz="4" w:space="0" w:color="auto"/>
              <w:bottom w:val="single" w:sz="4" w:space="0" w:color="auto"/>
              <w:right w:val="single" w:sz="4" w:space="0" w:color="auto"/>
            </w:tcBorders>
          </w:tcPr>
          <w:p w14:paraId="2480FC3A" w14:textId="77777777" w:rsidR="006C0576" w:rsidRPr="006C0576" w:rsidRDefault="006C0576">
            <w:pPr>
              <w:rPr>
                <w:rFonts w:ascii="Times New Roman" w:hAnsi="Times New Roman" w:cs="Times New Roman"/>
                <w:lang w:eastAsia="x-none"/>
              </w:rPr>
            </w:pPr>
            <w:r w:rsidRPr="006C0576">
              <w:rPr>
                <w:rFonts w:ascii="Times New Roman" w:hAnsi="Times New Roman" w:cs="Times New Roman"/>
                <w:highlight w:val="green"/>
                <w:lang w:eastAsia="x-none"/>
              </w:rPr>
              <w:t>Agreement:</w:t>
            </w:r>
          </w:p>
          <w:p w14:paraId="0358F98B" w14:textId="77777777" w:rsidR="006C0576" w:rsidRPr="006C0576" w:rsidRDefault="006C0576" w:rsidP="002901F9">
            <w:pPr>
              <w:numPr>
                <w:ilvl w:val="0"/>
                <w:numId w:val="11"/>
              </w:numPr>
              <w:spacing w:after="0" w:line="240" w:lineRule="auto"/>
              <w:rPr>
                <w:rFonts w:ascii="Times New Roman" w:hAnsi="Times New Roman" w:cs="Times New Roman"/>
                <w:lang w:eastAsia="x-none"/>
              </w:rPr>
            </w:pPr>
            <w:r w:rsidRPr="006C0576">
              <w:rPr>
                <w:rFonts w:ascii="Times New Roman" w:hAnsi="Times New Roman" w:cs="Times New Roman"/>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0769ED04" w14:textId="77777777" w:rsidR="006C0576" w:rsidRPr="006C0576" w:rsidRDefault="006C0576" w:rsidP="002901F9">
            <w:pPr>
              <w:numPr>
                <w:ilvl w:val="0"/>
                <w:numId w:val="12"/>
              </w:numPr>
              <w:spacing w:after="0" w:line="240" w:lineRule="auto"/>
              <w:rPr>
                <w:rFonts w:ascii="Times New Roman" w:hAnsi="Times New Roman" w:cs="Times New Roman"/>
                <w:lang w:eastAsia="x-none"/>
              </w:rPr>
            </w:pPr>
            <w:r w:rsidRPr="006C0576">
              <w:rPr>
                <w:rFonts w:ascii="Times New Roman" w:hAnsi="Times New Roman" w:cs="Times New Roman"/>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05B669AE" w14:textId="77777777" w:rsidR="006C0576" w:rsidRPr="006C0576" w:rsidRDefault="006C0576" w:rsidP="002901F9">
            <w:pPr>
              <w:numPr>
                <w:ilvl w:val="1"/>
                <w:numId w:val="12"/>
              </w:numPr>
              <w:spacing w:after="0" w:line="240" w:lineRule="auto"/>
              <w:rPr>
                <w:rFonts w:ascii="Times New Roman" w:hAnsi="Times New Roman" w:cs="Times New Roman"/>
                <w:lang w:eastAsia="x-none"/>
              </w:rPr>
            </w:pPr>
            <w:r w:rsidRPr="006C0576">
              <w:rPr>
                <w:rFonts w:ascii="Times New Roman" w:hAnsi="Times New Roman" w:cs="Times New Roman"/>
                <w:lang w:eastAsia="x-none"/>
              </w:rPr>
              <w:t>Note: Whether a preamble, if defined, can be used for power saving in all cases depends on the details of the design.</w:t>
            </w:r>
          </w:p>
          <w:p w14:paraId="4200E6AB" w14:textId="77777777" w:rsidR="006C0576" w:rsidRPr="006C0576" w:rsidRDefault="006C0576" w:rsidP="002901F9">
            <w:pPr>
              <w:numPr>
                <w:ilvl w:val="0"/>
                <w:numId w:val="12"/>
              </w:numPr>
              <w:spacing w:after="0" w:line="240" w:lineRule="auto"/>
              <w:rPr>
                <w:rFonts w:ascii="Times New Roman" w:hAnsi="Times New Roman" w:cs="Times New Roman"/>
                <w:lang w:eastAsia="x-none"/>
              </w:rPr>
            </w:pPr>
            <w:r w:rsidRPr="006C0576">
              <w:rPr>
                <w:rFonts w:ascii="Times New Roman" w:hAnsi="Times New Roman" w:cs="Times New Roman"/>
                <w:lang w:eastAsia="x-none"/>
              </w:rPr>
              <w:t>Note: Other signals present in the transmission burst may also be used for the purpose of detection of the transmission burst</w:t>
            </w:r>
          </w:p>
          <w:p w14:paraId="379DF946" w14:textId="77777777" w:rsidR="006C0576" w:rsidRPr="006C0576" w:rsidRDefault="006C0576" w:rsidP="002901F9">
            <w:pPr>
              <w:numPr>
                <w:ilvl w:val="0"/>
                <w:numId w:val="12"/>
              </w:numPr>
              <w:spacing w:after="0" w:line="240" w:lineRule="auto"/>
              <w:rPr>
                <w:rFonts w:ascii="Times New Roman" w:hAnsi="Times New Roman" w:cs="Times New Roman"/>
                <w:lang w:eastAsia="x-none"/>
              </w:rPr>
            </w:pPr>
            <w:r w:rsidRPr="006C0576">
              <w:rPr>
                <w:rFonts w:ascii="Times New Roman" w:hAnsi="Times New Roman" w:cs="Times New Roman"/>
                <w:lang w:eastAsia="x-none"/>
              </w:rPr>
              <w:t>FFS: Potential enhancements to DMRS design to address issues with detection probability</w:t>
            </w:r>
          </w:p>
          <w:p w14:paraId="4270D363" w14:textId="77777777" w:rsidR="006C0576" w:rsidRPr="006C0576" w:rsidRDefault="006C0576" w:rsidP="002901F9">
            <w:pPr>
              <w:numPr>
                <w:ilvl w:val="0"/>
                <w:numId w:val="11"/>
              </w:numPr>
              <w:spacing w:after="0" w:line="240" w:lineRule="auto"/>
              <w:rPr>
                <w:rFonts w:ascii="Times New Roman" w:hAnsi="Times New Roman" w:cs="Times New Roman"/>
                <w:lang w:eastAsia="x-none"/>
              </w:rPr>
            </w:pPr>
            <w:r w:rsidRPr="006C0576">
              <w:rPr>
                <w:rFonts w:ascii="Times New Roman" w:hAnsi="Times New Roman" w:cs="Times New Roman"/>
                <w:lang w:eastAsia="x-none"/>
              </w:rPr>
              <w:t xml:space="preserve">The payload of a PDCCH and/or GC-PDCCH transmission can contain information regarding COT structure that may be used by the UE for power saving </w:t>
            </w:r>
          </w:p>
          <w:p w14:paraId="7D6A5873" w14:textId="77777777" w:rsidR="006C0576" w:rsidRPr="006C0576" w:rsidRDefault="006C0576">
            <w:pPr>
              <w:spacing w:after="0"/>
              <w:ind w:left="360"/>
              <w:rPr>
                <w:rFonts w:ascii="Times New Roman" w:hAnsi="Times New Roman" w:cs="Times New Roman"/>
                <w:lang w:eastAsia="x-none"/>
              </w:rPr>
            </w:pPr>
          </w:p>
        </w:tc>
      </w:tr>
    </w:tbl>
    <w:p w14:paraId="22101910" w14:textId="265A8828" w:rsidR="008E5A8D" w:rsidRPr="000A02D3" w:rsidRDefault="008E5A8D" w:rsidP="008E5A8D">
      <w:pPr>
        <w:pStyle w:val="BodyText"/>
        <w:spacing w:before="120" w:after="0"/>
        <w:rPr>
          <w:rFonts w:ascii="Times New Roman" w:eastAsia="PMingLiU" w:hAnsi="Times New Roman" w:cs="Times New Roman"/>
        </w:rPr>
      </w:pPr>
    </w:p>
    <w:p w14:paraId="66276C52" w14:textId="0168EF63" w:rsidR="00633833" w:rsidRPr="00884B4C" w:rsidRDefault="00EC66AD" w:rsidP="005923F4">
      <w:pPr>
        <w:pStyle w:val="BodyText"/>
        <w:rPr>
          <w:rFonts w:ascii="Times New Roman" w:hAnsi="Times New Roman"/>
          <w:lang w:val="en-US"/>
        </w:rPr>
      </w:pPr>
      <w:r w:rsidRPr="00884B4C">
        <w:rPr>
          <w:rFonts w:ascii="Times New Roman" w:hAnsi="Times New Roman"/>
          <w:lang w:val="en-US"/>
        </w:rPr>
        <w:t>Since the channel is not always available for both gNB and UE in NR-U, there are quite a number of separate discussions related to the LBT impact to various timer/window/duration parameters in RAN2. It could end up with having different designs for different timer/window/duration parameters</w:t>
      </w:r>
      <w:r w:rsidR="00211970" w:rsidRPr="00884B4C">
        <w:rPr>
          <w:rFonts w:ascii="Times New Roman" w:hAnsi="Times New Roman"/>
          <w:lang w:val="en-US"/>
        </w:rPr>
        <w:t xml:space="preserve"> </w:t>
      </w:r>
      <w:r w:rsidR="00C43E64" w:rsidRPr="00884B4C">
        <w:rPr>
          <w:rFonts w:ascii="Times New Roman" w:hAnsi="Times New Roman"/>
          <w:lang w:val="en-US"/>
        </w:rPr>
        <w:t>in</w:t>
      </w:r>
      <w:r w:rsidR="00211970" w:rsidRPr="00884B4C">
        <w:rPr>
          <w:rFonts w:ascii="Times New Roman" w:hAnsi="Times New Roman"/>
          <w:lang w:val="en-US"/>
        </w:rPr>
        <w:t xml:space="preserve"> NR-U</w:t>
      </w:r>
      <w:r w:rsidR="00C43E64" w:rsidRPr="00884B4C">
        <w:rPr>
          <w:rFonts w:ascii="Times New Roman" w:hAnsi="Times New Roman"/>
          <w:lang w:val="en-US"/>
        </w:rPr>
        <w:t xml:space="preserve">, which is not really desired. In this paper, </w:t>
      </w:r>
      <w:r w:rsidR="00D9080F" w:rsidRPr="00884B4C">
        <w:rPr>
          <w:rFonts w:ascii="Times New Roman" w:hAnsi="Times New Roman"/>
          <w:lang w:val="en-US"/>
        </w:rPr>
        <w:t xml:space="preserve">the possibility to have a unified design based on the COT indication from L1 is discussed. </w:t>
      </w:r>
    </w:p>
    <w:p w14:paraId="55141043" w14:textId="77777777" w:rsidR="00D8203B" w:rsidRPr="00DC33E4" w:rsidRDefault="00D8203B" w:rsidP="005923F4">
      <w:pPr>
        <w:pStyle w:val="Heading1"/>
        <w:rPr>
          <w:lang w:val="en-US"/>
        </w:rPr>
      </w:pPr>
      <w:bookmarkStart w:id="2" w:name="_Ref178064866"/>
      <w:r w:rsidRPr="00DC33E4">
        <w:rPr>
          <w:lang w:val="en-US"/>
        </w:rPr>
        <w:t>Discussion</w:t>
      </w:r>
      <w:bookmarkEnd w:id="2"/>
    </w:p>
    <w:p w14:paraId="57250B86" w14:textId="72A13665" w:rsidR="00564C6D" w:rsidRDefault="007E4376" w:rsidP="00564C6D">
      <w:pPr>
        <w:pStyle w:val="Heading2"/>
        <w:rPr>
          <w:lang w:val="en-US"/>
        </w:rPr>
      </w:pPr>
      <w:r>
        <w:rPr>
          <w:lang w:val="en-US"/>
        </w:rPr>
        <w:t xml:space="preserve">The </w:t>
      </w:r>
      <w:r w:rsidR="00FF12BB">
        <w:rPr>
          <w:lang w:val="en-US"/>
        </w:rPr>
        <w:t>usage of the COT indication from L1</w:t>
      </w:r>
    </w:p>
    <w:bookmarkEnd w:id="1"/>
    <w:p w14:paraId="62B01A07" w14:textId="38096AB8" w:rsidR="00572B3D" w:rsidRDefault="001F4D3A" w:rsidP="001F4D3A">
      <w:pPr>
        <w:pStyle w:val="BodyText"/>
        <w:rPr>
          <w:rFonts w:ascii="Times New Roman" w:hAnsi="Times New Roman"/>
          <w:lang w:val="en-US"/>
        </w:rPr>
      </w:pPr>
      <w:r>
        <w:rPr>
          <w:rFonts w:ascii="Times New Roman" w:hAnsi="Times New Roman"/>
          <w:lang w:val="en-US"/>
        </w:rPr>
        <w:t xml:space="preserve">The RAN1 agreements listed in the </w:t>
      </w:r>
      <w:r w:rsidR="0071467C">
        <w:rPr>
          <w:rFonts w:ascii="Times New Roman" w:hAnsi="Times New Roman"/>
          <w:lang w:val="en-US"/>
        </w:rPr>
        <w:t>introduction</w:t>
      </w:r>
      <w:r>
        <w:rPr>
          <w:rFonts w:ascii="Times New Roman" w:hAnsi="Times New Roman"/>
          <w:lang w:val="en-US"/>
        </w:rPr>
        <w:t xml:space="preserve"> means</w:t>
      </w:r>
      <w:r w:rsidRPr="001F4D3A">
        <w:rPr>
          <w:rFonts w:ascii="Times New Roman" w:hAnsi="Times New Roman"/>
          <w:lang w:val="en-US"/>
        </w:rPr>
        <w:t xml:space="preserve"> that the COT structure info can be carried by PDCCH (FFS whether normal PDCCH or GC-PDCCH but it is PDCCH). Then DMRS of the PDCCH can be used as an implementation for identification of DL COT to reduce the effort of the blind decoding. Additionally, RAN1 is currently discussing that DL COT signal can be possibly repeated within the COT. </w:t>
      </w:r>
      <w:r w:rsidRPr="001F4D3A">
        <w:rPr>
          <w:rFonts w:ascii="Times New Roman" w:hAnsi="Times New Roman"/>
          <w:lang w:val="en-US"/>
        </w:rPr>
        <w:lastRenderedPageBreak/>
        <w:t>Hence UE receives this PDCCH when serving cell succeed with CCA.</w:t>
      </w:r>
      <w:r w:rsidR="003A4F7B">
        <w:rPr>
          <w:rFonts w:ascii="Times New Roman" w:hAnsi="Times New Roman"/>
          <w:lang w:val="en-US"/>
        </w:rPr>
        <w:t xml:space="preserve"> </w:t>
      </w:r>
      <w:r w:rsidR="002E16A2">
        <w:rPr>
          <w:rFonts w:ascii="Times New Roman" w:hAnsi="Times New Roman"/>
          <w:lang w:val="en-US"/>
        </w:rPr>
        <w:t xml:space="preserve">Regarding to the </w:t>
      </w:r>
      <w:r w:rsidR="0004325B">
        <w:rPr>
          <w:rFonts w:ascii="Times New Roman" w:hAnsi="Times New Roman"/>
          <w:lang w:val="en-US"/>
        </w:rPr>
        <w:t xml:space="preserve">LBT impact to the PDCCH monitoring behavior in the </w:t>
      </w:r>
      <w:r w:rsidR="00091BD8">
        <w:rPr>
          <w:rFonts w:ascii="Times New Roman" w:hAnsi="Times New Roman"/>
          <w:lang w:val="en-US"/>
        </w:rPr>
        <w:t>paging occasion,</w:t>
      </w:r>
      <w:r w:rsidR="00091BD8">
        <w:rPr>
          <w:rFonts w:ascii="Times New Roman" w:hAnsi="Times New Roman"/>
          <w:lang w:val="en-US"/>
        </w:rPr>
        <w:t xml:space="preserve"> </w:t>
      </w:r>
      <w:r w:rsidR="0004325B">
        <w:rPr>
          <w:rFonts w:ascii="Times New Roman" w:hAnsi="Times New Roman"/>
          <w:lang w:val="en-US"/>
        </w:rPr>
        <w:t>DRX</w:t>
      </w:r>
      <w:r w:rsidR="00DB0A35">
        <w:rPr>
          <w:rFonts w:ascii="Times New Roman" w:hAnsi="Times New Roman"/>
          <w:lang w:val="en-US"/>
        </w:rPr>
        <w:t xml:space="preserve"> on</w:t>
      </w:r>
      <w:r w:rsidR="0004325B">
        <w:rPr>
          <w:rFonts w:ascii="Times New Roman" w:hAnsi="Times New Roman"/>
          <w:lang w:val="en-US"/>
        </w:rPr>
        <w:t xml:space="preserve">, </w:t>
      </w:r>
      <w:r w:rsidR="00DB0A35">
        <w:rPr>
          <w:rFonts w:ascii="Times New Roman" w:hAnsi="Times New Roman"/>
          <w:lang w:val="en-US"/>
        </w:rPr>
        <w:t xml:space="preserve">RAR window, </w:t>
      </w:r>
      <w:r w:rsidR="0004325B">
        <w:rPr>
          <w:rFonts w:ascii="Times New Roman" w:hAnsi="Times New Roman"/>
          <w:lang w:val="en-US"/>
        </w:rPr>
        <w:t xml:space="preserve">or SI </w:t>
      </w:r>
      <w:r w:rsidR="00DB0A35">
        <w:rPr>
          <w:rFonts w:ascii="Times New Roman" w:hAnsi="Times New Roman"/>
          <w:lang w:val="en-US"/>
        </w:rPr>
        <w:t>window period</w:t>
      </w:r>
      <w:r w:rsidR="0004325B">
        <w:rPr>
          <w:rFonts w:ascii="Times New Roman" w:hAnsi="Times New Roman"/>
          <w:lang w:val="en-US"/>
        </w:rPr>
        <w:t xml:space="preserve">, currently RAN2 tends to </w:t>
      </w:r>
      <w:r w:rsidR="00480458">
        <w:rPr>
          <w:rFonts w:ascii="Times New Roman" w:hAnsi="Times New Roman"/>
          <w:lang w:val="en-US"/>
        </w:rPr>
        <w:t>increase</w:t>
      </w:r>
      <w:r w:rsidR="0004325B">
        <w:rPr>
          <w:rFonts w:ascii="Times New Roman" w:hAnsi="Times New Roman"/>
          <w:lang w:val="en-US"/>
        </w:rPr>
        <w:t xml:space="preserve"> the PDCCH monitoring </w:t>
      </w:r>
      <w:r w:rsidR="005A4615">
        <w:rPr>
          <w:rFonts w:ascii="Times New Roman" w:hAnsi="Times New Roman"/>
          <w:lang w:val="en-US"/>
        </w:rPr>
        <w:t xml:space="preserve">time by configuring a larger duration value or configuring more </w:t>
      </w:r>
      <w:r w:rsidR="00940772">
        <w:rPr>
          <w:rFonts w:ascii="Times New Roman" w:hAnsi="Times New Roman"/>
          <w:lang w:val="en-US"/>
        </w:rPr>
        <w:t>monitoring opportunities</w:t>
      </w:r>
      <w:r w:rsidR="0004325B">
        <w:rPr>
          <w:rFonts w:ascii="Times New Roman" w:hAnsi="Times New Roman"/>
          <w:lang w:val="en-US"/>
        </w:rPr>
        <w:t xml:space="preserve">, </w:t>
      </w:r>
      <w:r w:rsidR="0035419F">
        <w:rPr>
          <w:rFonts w:ascii="Times New Roman" w:hAnsi="Times New Roman"/>
          <w:lang w:val="en-US"/>
        </w:rPr>
        <w:t xml:space="preserve">regardless of the </w:t>
      </w:r>
      <w:r w:rsidR="00DB0A35">
        <w:rPr>
          <w:rFonts w:ascii="Times New Roman" w:hAnsi="Times New Roman"/>
          <w:lang w:val="en-US"/>
        </w:rPr>
        <w:t>real-time channel occupation status</w:t>
      </w:r>
      <w:r w:rsidR="0004325B">
        <w:rPr>
          <w:rFonts w:ascii="Times New Roman" w:hAnsi="Times New Roman"/>
          <w:lang w:val="en-US"/>
        </w:rPr>
        <w:t>.</w:t>
      </w:r>
      <w:r w:rsidR="00976E5E">
        <w:rPr>
          <w:rFonts w:ascii="Times New Roman" w:hAnsi="Times New Roman"/>
          <w:lang w:val="en-US"/>
        </w:rPr>
        <w:t xml:space="preserve"> </w:t>
      </w:r>
      <w:r w:rsidR="00030FCA">
        <w:rPr>
          <w:rFonts w:ascii="Times New Roman" w:hAnsi="Times New Roman"/>
          <w:lang w:val="en-US"/>
        </w:rPr>
        <w:t>Exte</w:t>
      </w:r>
      <w:bookmarkStart w:id="3" w:name="_GoBack"/>
      <w:bookmarkEnd w:id="3"/>
      <w:r w:rsidR="00030FCA">
        <w:rPr>
          <w:rFonts w:ascii="Times New Roman" w:hAnsi="Times New Roman"/>
          <w:lang w:val="en-US"/>
        </w:rPr>
        <w:t>nding</w:t>
      </w:r>
      <w:r w:rsidR="00DB0A35">
        <w:rPr>
          <w:rFonts w:ascii="Times New Roman" w:hAnsi="Times New Roman"/>
          <w:lang w:val="en-US"/>
        </w:rPr>
        <w:t xml:space="preserve"> the PDCCH monitoring time indeed can increase the chance for UE to receive the PDCCH </w:t>
      </w:r>
      <w:r w:rsidR="001E7D7E">
        <w:rPr>
          <w:rFonts w:ascii="Times New Roman" w:hAnsi="Times New Roman"/>
          <w:lang w:val="en-US"/>
        </w:rPr>
        <w:t xml:space="preserve">given that gNB is not always able to obtain the COT, but it may also </w:t>
      </w:r>
      <w:r w:rsidR="00737820">
        <w:rPr>
          <w:rFonts w:ascii="Times New Roman" w:hAnsi="Times New Roman"/>
          <w:lang w:val="en-US"/>
        </w:rPr>
        <w:t>unnecessarily consume</w:t>
      </w:r>
      <w:r w:rsidR="001E7D7E">
        <w:rPr>
          <w:rFonts w:ascii="Times New Roman" w:hAnsi="Times New Roman"/>
          <w:lang w:val="en-US"/>
        </w:rPr>
        <w:t xml:space="preserve"> UE’s power </w:t>
      </w:r>
      <w:r w:rsidR="006A08FD">
        <w:rPr>
          <w:rFonts w:ascii="Times New Roman" w:hAnsi="Times New Roman"/>
          <w:lang w:val="en-US"/>
        </w:rPr>
        <w:t>when</w:t>
      </w:r>
      <w:r w:rsidR="001E7D7E">
        <w:rPr>
          <w:rFonts w:ascii="Times New Roman" w:hAnsi="Times New Roman"/>
          <w:lang w:val="en-US"/>
        </w:rPr>
        <w:t xml:space="preserve"> the channel is free.</w:t>
      </w:r>
      <w:r w:rsidR="00480458">
        <w:rPr>
          <w:rFonts w:ascii="Times New Roman" w:hAnsi="Times New Roman"/>
          <w:lang w:val="en-US"/>
        </w:rPr>
        <w:t xml:space="preserve"> </w:t>
      </w:r>
    </w:p>
    <w:p w14:paraId="004ED7F6" w14:textId="17D1E041" w:rsidR="00572B3D" w:rsidRPr="00BC1802" w:rsidRDefault="00572B3D" w:rsidP="001F4D3A">
      <w:pPr>
        <w:pStyle w:val="BodyText"/>
        <w:rPr>
          <w:rFonts w:ascii="Times New Roman" w:hAnsi="Times New Roman"/>
          <w:b/>
          <w:lang w:val="en-US"/>
        </w:rPr>
      </w:pPr>
      <w:r w:rsidRPr="00BC1802">
        <w:rPr>
          <w:rFonts w:ascii="Times New Roman" w:hAnsi="Times New Roman"/>
          <w:b/>
          <w:lang w:val="en-US"/>
        </w:rPr>
        <w:t>Observation 1: UE may consume more power in monitoring the PDCCH if the network configures a longer PDCCH monitoring duration or more PDCCH monitoring opportunities</w:t>
      </w:r>
      <w:r w:rsidR="00BC1802">
        <w:rPr>
          <w:rFonts w:ascii="Times New Roman" w:hAnsi="Times New Roman"/>
          <w:b/>
          <w:lang w:val="en-US"/>
        </w:rPr>
        <w:t xml:space="preserve"> in NR-U</w:t>
      </w:r>
      <w:r w:rsidRPr="00BC1802">
        <w:rPr>
          <w:rFonts w:ascii="Times New Roman" w:hAnsi="Times New Roman"/>
          <w:b/>
          <w:lang w:val="en-US"/>
        </w:rPr>
        <w:t>.</w:t>
      </w:r>
    </w:p>
    <w:p w14:paraId="35223037" w14:textId="2823CBD1" w:rsidR="008A41C3" w:rsidRDefault="008224B6" w:rsidP="001F4D3A">
      <w:pPr>
        <w:pStyle w:val="BodyText"/>
        <w:rPr>
          <w:rFonts w:ascii="Times New Roman" w:hAnsi="Times New Roman"/>
          <w:lang w:val="en-US"/>
        </w:rPr>
      </w:pPr>
      <w:r>
        <w:rPr>
          <w:rFonts w:ascii="Times New Roman" w:hAnsi="Times New Roman"/>
          <w:lang w:val="en-US"/>
        </w:rPr>
        <w:t xml:space="preserve">In </w:t>
      </w:r>
      <w:r w:rsidR="00CC337B">
        <w:rPr>
          <w:rFonts w:ascii="Times New Roman" w:hAnsi="Times New Roman"/>
          <w:lang w:val="en-US"/>
        </w:rPr>
        <w:t xml:space="preserve">the </w:t>
      </w:r>
      <w:r>
        <w:rPr>
          <w:rFonts w:ascii="Times New Roman" w:hAnsi="Times New Roman"/>
          <w:lang w:val="en-US"/>
        </w:rPr>
        <w:t xml:space="preserve">RAN2#105bis meeting, it was agreed that UE can terminate the PDCCH monitoring </w:t>
      </w:r>
      <w:r w:rsidR="006928ED">
        <w:rPr>
          <w:rFonts w:ascii="Times New Roman" w:hAnsi="Times New Roman"/>
          <w:lang w:val="en-US"/>
        </w:rPr>
        <w:t>if UE receives on PDCCH addressed to P-RNTI in a paging occasion</w:t>
      </w:r>
      <w:r w:rsidR="009765E4">
        <w:rPr>
          <w:rFonts w:ascii="Times New Roman" w:hAnsi="Times New Roman"/>
          <w:lang w:val="en-US"/>
        </w:rPr>
        <w:t xml:space="preserve">; however, it is just a starting point with </w:t>
      </w:r>
      <w:r w:rsidR="0088341E">
        <w:rPr>
          <w:rFonts w:ascii="Times New Roman" w:hAnsi="Times New Roman"/>
          <w:lang w:val="en-US"/>
        </w:rPr>
        <w:t xml:space="preserve">the </w:t>
      </w:r>
      <w:r w:rsidR="009765E4">
        <w:rPr>
          <w:rFonts w:ascii="Times New Roman" w:hAnsi="Times New Roman"/>
          <w:lang w:val="en-US"/>
        </w:rPr>
        <w:t>very basic termination scheme similar to what</w:t>
      </w:r>
      <w:r w:rsidR="009A16D6">
        <w:rPr>
          <w:rFonts w:ascii="Times New Roman" w:hAnsi="Times New Roman"/>
          <w:lang w:val="en-US"/>
        </w:rPr>
        <w:t xml:space="preserve"> has been implemented in LTE/NR</w:t>
      </w:r>
      <w:r w:rsidR="009765E4">
        <w:rPr>
          <w:rFonts w:ascii="Times New Roman" w:hAnsi="Times New Roman"/>
          <w:lang w:val="en-US"/>
        </w:rPr>
        <w:t>.</w:t>
      </w:r>
      <w:r w:rsidR="009A16D6">
        <w:rPr>
          <w:rFonts w:ascii="Times New Roman" w:hAnsi="Times New Roman"/>
          <w:lang w:val="en-US"/>
        </w:rPr>
        <w:t xml:space="preserve"> A more completed termination scheme that </w:t>
      </w:r>
      <w:r w:rsidR="0088341E">
        <w:rPr>
          <w:rFonts w:ascii="Times New Roman" w:hAnsi="Times New Roman"/>
          <w:lang w:val="en-US"/>
        </w:rPr>
        <w:t>can</w:t>
      </w:r>
      <w:r w:rsidR="009A16D6">
        <w:rPr>
          <w:rFonts w:ascii="Times New Roman" w:hAnsi="Times New Roman"/>
          <w:lang w:val="en-US"/>
        </w:rPr>
        <w:t xml:space="preserve"> </w:t>
      </w:r>
      <w:r w:rsidR="00BA1611">
        <w:rPr>
          <w:rFonts w:ascii="Times New Roman" w:hAnsi="Times New Roman"/>
          <w:lang w:val="en-US"/>
        </w:rPr>
        <w:t>deal with</w:t>
      </w:r>
      <w:r w:rsidR="009A16D6">
        <w:rPr>
          <w:rFonts w:ascii="Times New Roman" w:hAnsi="Times New Roman"/>
          <w:lang w:val="en-US"/>
        </w:rPr>
        <w:t xml:space="preserve"> the case where gNB </w:t>
      </w:r>
      <w:r w:rsidR="0088341E">
        <w:rPr>
          <w:rFonts w:ascii="Times New Roman" w:hAnsi="Times New Roman"/>
          <w:lang w:val="en-US"/>
        </w:rPr>
        <w:t>is able to</w:t>
      </w:r>
      <w:r w:rsidR="009A16D6">
        <w:rPr>
          <w:rFonts w:ascii="Times New Roman" w:hAnsi="Times New Roman"/>
          <w:lang w:val="en-US"/>
        </w:rPr>
        <w:t xml:space="preserve"> obtain COT but doesn’t intend to </w:t>
      </w:r>
      <w:r w:rsidR="00EA4CD3">
        <w:rPr>
          <w:rFonts w:ascii="Times New Roman" w:hAnsi="Times New Roman"/>
          <w:lang w:val="en-US"/>
        </w:rPr>
        <w:t>page the UE</w:t>
      </w:r>
      <w:r w:rsidR="009A16D6">
        <w:rPr>
          <w:rFonts w:ascii="Times New Roman" w:hAnsi="Times New Roman"/>
          <w:lang w:val="en-US"/>
        </w:rPr>
        <w:t xml:space="preserve"> is still required, in order to compensate the increased power consumption caused by the extended </w:t>
      </w:r>
      <w:r w:rsidR="00EA4CD3">
        <w:rPr>
          <w:rFonts w:ascii="Times New Roman" w:hAnsi="Times New Roman"/>
          <w:lang w:val="en-US"/>
        </w:rPr>
        <w:t>PO</w:t>
      </w:r>
      <w:r w:rsidR="009A16D6">
        <w:rPr>
          <w:rFonts w:ascii="Times New Roman" w:hAnsi="Times New Roman"/>
          <w:lang w:val="en-US"/>
        </w:rPr>
        <w:t xml:space="preserve"> </w:t>
      </w:r>
      <w:r w:rsidR="00C465CD">
        <w:rPr>
          <w:rFonts w:ascii="Times New Roman" w:hAnsi="Times New Roman"/>
          <w:lang w:val="en-US"/>
        </w:rPr>
        <w:t>duration</w:t>
      </w:r>
      <w:r w:rsidR="00B248FD">
        <w:rPr>
          <w:rFonts w:ascii="Times New Roman" w:hAnsi="Times New Roman"/>
          <w:lang w:val="en-US"/>
        </w:rPr>
        <w:t xml:space="preserve"> or increased POs </w:t>
      </w:r>
      <w:r w:rsidR="001D7C81">
        <w:rPr>
          <w:rFonts w:ascii="Times New Roman" w:hAnsi="Times New Roman"/>
          <w:lang w:val="en-US"/>
        </w:rPr>
        <w:t>in NR-U.</w:t>
      </w:r>
    </w:p>
    <w:p w14:paraId="7CE2A113" w14:textId="56AA9B1B" w:rsidR="00450BB8" w:rsidRDefault="00450BB8" w:rsidP="001F4D3A">
      <w:pPr>
        <w:pStyle w:val="BodyText"/>
        <w:rPr>
          <w:rFonts w:ascii="Times New Roman" w:hAnsi="Times New Roman"/>
          <w:lang w:val="en-US"/>
        </w:rPr>
      </w:pPr>
      <w:r w:rsidRPr="00AF3D19">
        <w:rPr>
          <w:rFonts w:ascii="Times New Roman" w:hAnsi="Times New Roman"/>
          <w:b/>
        </w:rPr>
        <w:t xml:space="preserve">Proposal 1: </w:t>
      </w:r>
      <w:r w:rsidR="00EA4CD3">
        <w:rPr>
          <w:rFonts w:ascii="Times New Roman" w:hAnsi="Times New Roman"/>
          <w:b/>
        </w:rPr>
        <w:t>UE can terminate the PDCCH monitoring earlier even if UE doesn’t receive the PDCCH addressed to P-RNTI</w:t>
      </w:r>
      <w:r>
        <w:rPr>
          <w:rFonts w:ascii="Times New Roman" w:hAnsi="Times New Roman"/>
          <w:b/>
        </w:rPr>
        <w:t>.</w:t>
      </w:r>
    </w:p>
    <w:p w14:paraId="06E25551" w14:textId="6898FB5C" w:rsidR="003A4F7B" w:rsidRDefault="005F344F" w:rsidP="001F4D3A">
      <w:pPr>
        <w:pStyle w:val="BodyText"/>
        <w:rPr>
          <w:rFonts w:ascii="Times New Roman" w:hAnsi="Times New Roman"/>
          <w:lang w:val="en-US"/>
        </w:rPr>
      </w:pPr>
      <w:r>
        <w:rPr>
          <w:rFonts w:ascii="Times New Roman" w:hAnsi="Times New Roman"/>
          <w:lang w:val="en-US"/>
        </w:rPr>
        <w:t xml:space="preserve">Assuming that L1 is able to </w:t>
      </w:r>
      <w:r w:rsidRPr="005F344F">
        <w:rPr>
          <w:rFonts w:ascii="Times New Roman" w:hAnsi="Times New Roman"/>
          <w:lang w:val="en-US"/>
        </w:rPr>
        <w:t xml:space="preserve">indicate the COT status </w:t>
      </w:r>
      <w:r>
        <w:rPr>
          <w:rFonts w:ascii="Times New Roman" w:hAnsi="Times New Roman"/>
          <w:lang w:val="en-US"/>
        </w:rPr>
        <w:t xml:space="preserve">to L2/L3 </w:t>
      </w:r>
      <w:r w:rsidRPr="005F344F">
        <w:rPr>
          <w:rFonts w:ascii="Times New Roman" w:hAnsi="Times New Roman"/>
          <w:lang w:val="en-US"/>
        </w:rPr>
        <w:t xml:space="preserve">at the time </w:t>
      </w:r>
      <w:r w:rsidR="00E6618B">
        <w:rPr>
          <w:rFonts w:ascii="Times New Roman" w:hAnsi="Times New Roman"/>
          <w:lang w:val="en-US"/>
        </w:rPr>
        <w:t>when</w:t>
      </w:r>
      <w:r w:rsidRPr="005F344F">
        <w:rPr>
          <w:rFonts w:ascii="Times New Roman" w:hAnsi="Times New Roman"/>
          <w:lang w:val="en-US"/>
        </w:rPr>
        <w:t xml:space="preserve"> </w:t>
      </w:r>
      <w:r w:rsidR="00E6618B">
        <w:rPr>
          <w:rFonts w:ascii="Times New Roman" w:hAnsi="Times New Roman"/>
          <w:lang w:val="en-US"/>
        </w:rPr>
        <w:t xml:space="preserve">(gNB) </w:t>
      </w:r>
      <w:r w:rsidRPr="005F344F">
        <w:rPr>
          <w:rFonts w:ascii="Times New Roman" w:hAnsi="Times New Roman"/>
          <w:lang w:val="en-US"/>
        </w:rPr>
        <w:t>enter</w:t>
      </w:r>
      <w:r w:rsidR="00E6618B">
        <w:rPr>
          <w:rFonts w:ascii="Times New Roman" w:hAnsi="Times New Roman"/>
          <w:lang w:val="en-US"/>
        </w:rPr>
        <w:t>ing</w:t>
      </w:r>
      <w:r w:rsidRPr="005F344F">
        <w:rPr>
          <w:rFonts w:ascii="Times New Roman" w:hAnsi="Times New Roman"/>
          <w:lang w:val="en-US"/>
        </w:rPr>
        <w:t xml:space="preserve"> the COT and at the time </w:t>
      </w:r>
      <w:r w:rsidR="00E6618B">
        <w:rPr>
          <w:rFonts w:ascii="Times New Roman" w:hAnsi="Times New Roman"/>
          <w:lang w:val="en-US"/>
        </w:rPr>
        <w:t>when</w:t>
      </w:r>
      <w:r w:rsidRPr="005F344F">
        <w:rPr>
          <w:rFonts w:ascii="Times New Roman" w:hAnsi="Times New Roman"/>
          <w:lang w:val="en-US"/>
        </w:rPr>
        <w:t xml:space="preserve"> </w:t>
      </w:r>
      <w:r w:rsidR="00E6618B">
        <w:rPr>
          <w:rFonts w:ascii="Times New Roman" w:hAnsi="Times New Roman"/>
          <w:lang w:val="en-US"/>
        </w:rPr>
        <w:t xml:space="preserve">(gNB) </w:t>
      </w:r>
      <w:r w:rsidRPr="005F344F">
        <w:rPr>
          <w:rFonts w:ascii="Times New Roman" w:hAnsi="Times New Roman"/>
          <w:lang w:val="en-US"/>
        </w:rPr>
        <w:t>exit</w:t>
      </w:r>
      <w:r w:rsidR="00E6618B">
        <w:rPr>
          <w:rFonts w:ascii="Times New Roman" w:hAnsi="Times New Roman"/>
          <w:lang w:val="en-US"/>
        </w:rPr>
        <w:t>ing</w:t>
      </w:r>
      <w:r w:rsidRPr="005F344F">
        <w:rPr>
          <w:rFonts w:ascii="Times New Roman" w:hAnsi="Times New Roman"/>
          <w:lang w:val="en-US"/>
        </w:rPr>
        <w:t xml:space="preserve"> the COT</w:t>
      </w:r>
      <w:r w:rsidR="00E6618B">
        <w:rPr>
          <w:rFonts w:ascii="Times New Roman" w:hAnsi="Times New Roman"/>
          <w:lang w:val="en-US"/>
        </w:rPr>
        <w:t xml:space="preserve">, the </w:t>
      </w:r>
      <w:r w:rsidR="001A6D86">
        <w:rPr>
          <w:rFonts w:ascii="Times New Roman" w:hAnsi="Times New Roman"/>
          <w:lang w:val="en-US"/>
        </w:rPr>
        <w:t xml:space="preserve">extended </w:t>
      </w:r>
      <w:r w:rsidR="00E6618B">
        <w:rPr>
          <w:rFonts w:ascii="Times New Roman" w:hAnsi="Times New Roman"/>
          <w:lang w:val="en-US"/>
        </w:rPr>
        <w:t xml:space="preserve">PDCCH monitoring duration </w:t>
      </w:r>
      <w:r w:rsidR="001A6D86">
        <w:rPr>
          <w:rFonts w:ascii="Times New Roman" w:hAnsi="Times New Roman"/>
          <w:lang w:val="en-US"/>
        </w:rPr>
        <w:t xml:space="preserve">can be terminated earlier based on how long the gNB </w:t>
      </w:r>
      <w:r w:rsidR="005E6D31">
        <w:rPr>
          <w:rFonts w:ascii="Times New Roman" w:hAnsi="Times New Roman"/>
          <w:lang w:val="en-US"/>
        </w:rPr>
        <w:t>has</w:t>
      </w:r>
      <w:r w:rsidR="001A6D86">
        <w:rPr>
          <w:rFonts w:ascii="Times New Roman" w:hAnsi="Times New Roman"/>
          <w:lang w:val="en-US"/>
        </w:rPr>
        <w:t xml:space="preserve"> occupied the channel</w:t>
      </w:r>
      <w:r w:rsidR="00E6618B">
        <w:rPr>
          <w:rFonts w:ascii="Times New Roman" w:hAnsi="Times New Roman"/>
          <w:lang w:val="en-US"/>
        </w:rPr>
        <w:t>.</w:t>
      </w:r>
    </w:p>
    <w:p w14:paraId="470BC178" w14:textId="723743E8" w:rsidR="005A4615" w:rsidRPr="0022198A" w:rsidRDefault="00450BB8" w:rsidP="0022198A">
      <w:pPr>
        <w:rPr>
          <w:rFonts w:ascii="Times New Roman" w:hAnsi="Times New Roman"/>
          <w:b/>
        </w:rPr>
      </w:pPr>
      <w:r>
        <w:rPr>
          <w:rFonts w:ascii="Times New Roman" w:hAnsi="Times New Roman"/>
          <w:b/>
        </w:rPr>
        <w:t>Proposal 2</w:t>
      </w:r>
      <w:r w:rsidRPr="00AF3D19">
        <w:rPr>
          <w:rFonts w:ascii="Times New Roman" w:hAnsi="Times New Roman"/>
          <w:b/>
        </w:rPr>
        <w:t xml:space="preserve">: </w:t>
      </w:r>
      <w:r w:rsidR="009D69C0">
        <w:rPr>
          <w:rFonts w:ascii="Times New Roman" w:hAnsi="Times New Roman"/>
          <w:b/>
        </w:rPr>
        <w:t>UE can terminate the PDCCH monitoring earlier based on how long the gNB has occupied the channel</w:t>
      </w:r>
      <w:r>
        <w:rPr>
          <w:rFonts w:ascii="Times New Roman" w:hAnsi="Times New Roman"/>
          <w:b/>
        </w:rPr>
        <w:t>.</w:t>
      </w:r>
    </w:p>
    <w:p w14:paraId="511729DE" w14:textId="6D3725F0" w:rsidR="00884B4C" w:rsidRPr="001F4D3A" w:rsidRDefault="00CA033B" w:rsidP="004E2C74">
      <w:pPr>
        <w:pStyle w:val="BodyText"/>
        <w:rPr>
          <w:rFonts w:ascii="Times New Roman" w:hAnsi="Times New Roman"/>
          <w:lang w:val="en-US"/>
        </w:rPr>
      </w:pPr>
      <w:r>
        <w:rPr>
          <w:rFonts w:ascii="Times New Roman" w:hAnsi="Times New Roman"/>
          <w:lang w:val="en-US"/>
        </w:rPr>
        <w:t xml:space="preserve">As there are multiple operations requiring UE to monitor the PDCCH in configured periods, and these operations are </w:t>
      </w:r>
      <w:r w:rsidR="00406893">
        <w:rPr>
          <w:rFonts w:ascii="Times New Roman" w:hAnsi="Times New Roman"/>
          <w:lang w:val="en-US"/>
        </w:rPr>
        <w:t>enhanced in NR-U in the same way that t</w:t>
      </w:r>
      <w:r>
        <w:rPr>
          <w:rFonts w:ascii="Times New Roman" w:hAnsi="Times New Roman"/>
          <w:lang w:val="en-US"/>
        </w:rPr>
        <w:t xml:space="preserve">he monitoring duration </w:t>
      </w:r>
      <w:r w:rsidR="00D56352">
        <w:rPr>
          <w:rFonts w:ascii="Times New Roman" w:hAnsi="Times New Roman"/>
          <w:lang w:val="en-US"/>
        </w:rPr>
        <w:t>is to be</w:t>
      </w:r>
      <w:r>
        <w:rPr>
          <w:rFonts w:ascii="Times New Roman" w:hAnsi="Times New Roman"/>
          <w:lang w:val="en-US"/>
        </w:rPr>
        <w:t xml:space="preserve"> extended </w:t>
      </w:r>
      <w:r w:rsidR="00406893">
        <w:rPr>
          <w:rFonts w:ascii="Times New Roman" w:hAnsi="Times New Roman"/>
          <w:lang w:val="en-US"/>
        </w:rPr>
        <w:t xml:space="preserve">because of the </w:t>
      </w:r>
      <w:r>
        <w:rPr>
          <w:rFonts w:ascii="Times New Roman" w:hAnsi="Times New Roman"/>
          <w:lang w:val="en-US"/>
        </w:rPr>
        <w:t>possible LBT fai</w:t>
      </w:r>
      <w:r w:rsidR="00406893">
        <w:rPr>
          <w:rFonts w:ascii="Times New Roman" w:hAnsi="Times New Roman"/>
          <w:lang w:val="en-US"/>
        </w:rPr>
        <w:t xml:space="preserve">lures, we think a unified termination scheme is required for these operation as well. </w:t>
      </w:r>
      <w:r>
        <w:rPr>
          <w:rFonts w:ascii="Times New Roman" w:hAnsi="Times New Roman"/>
          <w:lang w:val="en-US"/>
        </w:rPr>
        <w:t xml:space="preserve">Therefore, </w:t>
      </w:r>
      <w:r w:rsidR="004E2C74">
        <w:rPr>
          <w:rFonts w:ascii="Times New Roman" w:hAnsi="Times New Roman"/>
          <w:lang w:val="en-US"/>
        </w:rPr>
        <w:t xml:space="preserve">RAN2 is kindly asked to apply </w:t>
      </w:r>
      <w:r w:rsidR="00D33583">
        <w:rPr>
          <w:rFonts w:ascii="Times New Roman" w:hAnsi="Times New Roman"/>
          <w:lang w:val="en-US"/>
        </w:rPr>
        <w:t>a unified scheme</w:t>
      </w:r>
      <w:r w:rsidR="00AD2EF2">
        <w:rPr>
          <w:rFonts w:ascii="Times New Roman" w:hAnsi="Times New Roman"/>
          <w:lang w:val="en-US"/>
        </w:rPr>
        <w:t xml:space="preserve"> for UE</w:t>
      </w:r>
      <w:r w:rsidR="00D33583">
        <w:rPr>
          <w:rFonts w:ascii="Times New Roman" w:hAnsi="Times New Roman"/>
          <w:lang w:val="en-US"/>
        </w:rPr>
        <w:t xml:space="preserve"> to </w:t>
      </w:r>
      <w:r w:rsidR="00AD2EF2">
        <w:rPr>
          <w:rFonts w:ascii="Times New Roman" w:hAnsi="Times New Roman"/>
          <w:lang w:val="en-US"/>
        </w:rPr>
        <w:t xml:space="preserve">terminate </w:t>
      </w:r>
      <w:r w:rsidR="00D33583">
        <w:rPr>
          <w:rFonts w:ascii="Times New Roman" w:hAnsi="Times New Roman"/>
          <w:lang w:val="en-US"/>
        </w:rPr>
        <w:t xml:space="preserve">the PDCCH monitoring </w:t>
      </w:r>
      <w:r w:rsidR="00AD2EF2">
        <w:rPr>
          <w:rFonts w:ascii="Times New Roman" w:hAnsi="Times New Roman"/>
          <w:lang w:val="en-US"/>
        </w:rPr>
        <w:t>earlier for</w:t>
      </w:r>
      <w:r w:rsidR="00D33583">
        <w:rPr>
          <w:rFonts w:ascii="Times New Roman" w:hAnsi="Times New Roman"/>
          <w:lang w:val="en-US"/>
        </w:rPr>
        <w:t xml:space="preserve"> </w:t>
      </w:r>
      <w:r w:rsidR="004E2C74">
        <w:rPr>
          <w:rFonts w:ascii="Times New Roman" w:hAnsi="Times New Roman"/>
          <w:lang w:val="en-US"/>
        </w:rPr>
        <w:t>at least the DRX, paging</w:t>
      </w:r>
      <w:r w:rsidR="00CE6616">
        <w:rPr>
          <w:rFonts w:ascii="Times New Roman" w:hAnsi="Times New Roman"/>
          <w:lang w:val="en-US"/>
        </w:rPr>
        <w:t>, and SI acquisition operations</w:t>
      </w:r>
      <w:r w:rsidR="00AD2EF2">
        <w:rPr>
          <w:rFonts w:ascii="Times New Roman" w:hAnsi="Times New Roman"/>
          <w:lang w:val="en-US"/>
        </w:rPr>
        <w:t xml:space="preserve"> in NR-U</w:t>
      </w:r>
      <w:r w:rsidR="00CE6616">
        <w:rPr>
          <w:rFonts w:ascii="Times New Roman" w:hAnsi="Times New Roman"/>
          <w:lang w:val="en-US"/>
        </w:rPr>
        <w:t>.</w:t>
      </w:r>
    </w:p>
    <w:p w14:paraId="31A1430D" w14:textId="42828966" w:rsidR="00CE6616" w:rsidRDefault="00CE6616" w:rsidP="00CE6616">
      <w:pPr>
        <w:rPr>
          <w:rFonts w:ascii="Times New Roman" w:hAnsi="Times New Roman"/>
          <w:b/>
        </w:rPr>
      </w:pPr>
      <w:r w:rsidRPr="00AF3D19">
        <w:rPr>
          <w:rFonts w:ascii="Times New Roman" w:hAnsi="Times New Roman"/>
          <w:b/>
        </w:rPr>
        <w:t xml:space="preserve">Proposal </w:t>
      </w:r>
      <w:r w:rsidR="00543741">
        <w:rPr>
          <w:rFonts w:ascii="Times New Roman" w:hAnsi="Times New Roman"/>
          <w:b/>
        </w:rPr>
        <w:t>3</w:t>
      </w:r>
      <w:r w:rsidRPr="00AF3D19">
        <w:rPr>
          <w:rFonts w:ascii="Times New Roman" w:hAnsi="Times New Roman"/>
          <w:b/>
        </w:rPr>
        <w:t xml:space="preserve">: RAN2 </w:t>
      </w:r>
      <w:r>
        <w:rPr>
          <w:rFonts w:ascii="Times New Roman" w:hAnsi="Times New Roman"/>
          <w:b/>
        </w:rPr>
        <w:t>appl</w:t>
      </w:r>
      <w:r w:rsidR="00C02BA1">
        <w:rPr>
          <w:rFonts w:ascii="Times New Roman" w:hAnsi="Times New Roman"/>
          <w:b/>
        </w:rPr>
        <w:t>ies</w:t>
      </w:r>
      <w:r w:rsidRPr="00AF3D19">
        <w:rPr>
          <w:rFonts w:ascii="Times New Roman" w:hAnsi="Times New Roman"/>
          <w:b/>
        </w:rPr>
        <w:t xml:space="preserve"> </w:t>
      </w:r>
      <w:r>
        <w:rPr>
          <w:rFonts w:ascii="Times New Roman" w:hAnsi="Times New Roman"/>
          <w:b/>
        </w:rPr>
        <w:t>a unified</w:t>
      </w:r>
      <w:r w:rsidR="00192EAC">
        <w:rPr>
          <w:rFonts w:ascii="Times New Roman" w:hAnsi="Times New Roman"/>
          <w:b/>
        </w:rPr>
        <w:t xml:space="preserve"> scheme</w:t>
      </w:r>
      <w:r>
        <w:rPr>
          <w:rFonts w:ascii="Times New Roman" w:hAnsi="Times New Roman"/>
          <w:b/>
        </w:rPr>
        <w:t xml:space="preserve"> </w:t>
      </w:r>
      <w:r w:rsidR="00AD2EF2">
        <w:rPr>
          <w:rFonts w:ascii="Times New Roman" w:hAnsi="Times New Roman"/>
          <w:b/>
        </w:rPr>
        <w:t xml:space="preserve">for UE </w:t>
      </w:r>
      <w:r w:rsidR="00192EAC">
        <w:rPr>
          <w:rFonts w:ascii="Times New Roman" w:hAnsi="Times New Roman"/>
          <w:b/>
        </w:rPr>
        <w:t>to</w:t>
      </w:r>
      <w:r w:rsidR="00AD2EF2">
        <w:rPr>
          <w:rFonts w:ascii="Times New Roman" w:hAnsi="Times New Roman"/>
          <w:b/>
        </w:rPr>
        <w:t xml:space="preserve"> terminate</w:t>
      </w:r>
      <w:r w:rsidR="00192EAC">
        <w:rPr>
          <w:rFonts w:ascii="Times New Roman" w:hAnsi="Times New Roman"/>
          <w:b/>
        </w:rPr>
        <w:t xml:space="preserve"> </w:t>
      </w:r>
      <w:r>
        <w:rPr>
          <w:rFonts w:ascii="Times New Roman" w:hAnsi="Times New Roman"/>
          <w:b/>
        </w:rPr>
        <w:t xml:space="preserve">the PDCCH monitoring </w:t>
      </w:r>
      <w:r w:rsidR="00AD2EF2">
        <w:rPr>
          <w:rFonts w:ascii="Times New Roman" w:hAnsi="Times New Roman"/>
          <w:b/>
        </w:rPr>
        <w:t xml:space="preserve">earlier </w:t>
      </w:r>
      <w:r w:rsidR="00A41D4C">
        <w:rPr>
          <w:rFonts w:ascii="Times New Roman" w:hAnsi="Times New Roman"/>
          <w:b/>
        </w:rPr>
        <w:t>for</w:t>
      </w:r>
      <w:r>
        <w:rPr>
          <w:rFonts w:ascii="Times New Roman" w:hAnsi="Times New Roman"/>
          <w:b/>
        </w:rPr>
        <w:t xml:space="preserve"> at least the DRX, paging, and SI acquisition operations</w:t>
      </w:r>
      <w:r w:rsidR="00840F20">
        <w:rPr>
          <w:rFonts w:ascii="Times New Roman" w:hAnsi="Times New Roman"/>
          <w:b/>
        </w:rPr>
        <w:t xml:space="preserve"> in NR-U</w:t>
      </w:r>
      <w:r>
        <w:rPr>
          <w:rFonts w:ascii="Times New Roman" w:hAnsi="Times New Roman"/>
          <w:b/>
        </w:rPr>
        <w:t>.</w:t>
      </w:r>
    </w:p>
    <w:p w14:paraId="0A997C65" w14:textId="77777777" w:rsidR="00CE6616" w:rsidRPr="001F4D3A" w:rsidRDefault="00CE6616" w:rsidP="001632FD">
      <w:pPr>
        <w:pStyle w:val="BodyText"/>
        <w:rPr>
          <w:rFonts w:ascii="Times New Roman" w:eastAsia="MS Mincho" w:hAnsi="Times New Roman" w:cs="Times New Roman"/>
          <w:b/>
          <w:sz w:val="20"/>
          <w:szCs w:val="20"/>
          <w:lang w:val="en-US"/>
        </w:rPr>
      </w:pPr>
    </w:p>
    <w:p w14:paraId="55947138" w14:textId="7DBD3900" w:rsidR="00C609B9" w:rsidRPr="002202E1" w:rsidRDefault="00C609B9" w:rsidP="00C609B9">
      <w:pPr>
        <w:pStyle w:val="Heading1"/>
        <w:rPr>
          <w:lang w:val="en-US"/>
        </w:rPr>
      </w:pPr>
      <w:r w:rsidRPr="002202E1">
        <w:rPr>
          <w:lang w:val="en-US"/>
        </w:rPr>
        <w:t>Conclusion</w:t>
      </w:r>
    </w:p>
    <w:p w14:paraId="3AC864CF" w14:textId="19BCE2A2" w:rsidR="00C609B9"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t>
      </w:r>
      <w:r w:rsidR="0009258F" w:rsidRPr="0009258F">
        <w:rPr>
          <w:rFonts w:ascii="Times New Roman" w:hAnsi="Times New Roman" w:cs="Times New Roman"/>
          <w:sz w:val="20"/>
          <w:szCs w:val="20"/>
          <w:lang w:eastAsia="en-US"/>
        </w:rPr>
        <w:t xml:space="preserve">we </w:t>
      </w:r>
      <w:r w:rsidR="002807C6">
        <w:rPr>
          <w:rFonts w:ascii="Times New Roman" w:hAnsi="Times New Roman" w:cs="Times New Roman"/>
          <w:sz w:val="20"/>
          <w:szCs w:val="20"/>
          <w:lang w:eastAsia="en-US"/>
        </w:rPr>
        <w:t>possible impact of extending the PDCCH monitoring duration or increasing the PDCCH monitoring opportunities, and have the following observation</w:t>
      </w:r>
      <w:r>
        <w:rPr>
          <w:rFonts w:ascii="Times New Roman" w:hAnsi="Times New Roman" w:cs="Times New Roman"/>
          <w:sz w:val="20"/>
          <w:szCs w:val="20"/>
          <w:lang w:eastAsia="en-US"/>
        </w:rPr>
        <w:t xml:space="preserve">. </w:t>
      </w:r>
    </w:p>
    <w:p w14:paraId="611C114E" w14:textId="0F9FF992" w:rsidR="004C70EA" w:rsidRPr="00386158" w:rsidRDefault="004C70EA" w:rsidP="00C609B9">
      <w:pPr>
        <w:pStyle w:val="BodyText"/>
        <w:rPr>
          <w:rFonts w:ascii="Times New Roman" w:hAnsi="Times New Roman" w:cs="Times New Roman"/>
          <w:sz w:val="20"/>
          <w:szCs w:val="20"/>
          <w:lang w:eastAsia="en-US"/>
        </w:rPr>
      </w:pPr>
      <w:r w:rsidRPr="00BC1802">
        <w:rPr>
          <w:rFonts w:ascii="Times New Roman" w:hAnsi="Times New Roman"/>
          <w:b/>
          <w:lang w:val="en-US"/>
        </w:rPr>
        <w:t>Observation 1: UE may consume more power in monitoring the PDCCH if the network configures a longer PDCCH monitoring duration or more PDCCH monitoring opportunities</w:t>
      </w:r>
      <w:r>
        <w:rPr>
          <w:rFonts w:ascii="Times New Roman" w:hAnsi="Times New Roman"/>
          <w:b/>
          <w:lang w:val="en-US"/>
        </w:rPr>
        <w:t xml:space="preserve"> in NR-U</w:t>
      </w:r>
      <w:r w:rsidRPr="00BC1802">
        <w:rPr>
          <w:rFonts w:ascii="Times New Roman" w:hAnsi="Times New Roman"/>
          <w:b/>
          <w:lang w:val="en-US"/>
        </w:rPr>
        <w:t>.</w:t>
      </w:r>
    </w:p>
    <w:p w14:paraId="373DC2B8" w14:textId="3AE83074" w:rsidR="00EF04DD" w:rsidRPr="00AE41A1" w:rsidRDefault="00FE1440" w:rsidP="00AE41A1">
      <w:pPr>
        <w:rPr>
          <w:rFonts w:ascii="Times New Roman" w:hAnsi="Times New Roman"/>
        </w:rPr>
      </w:pPr>
      <w:r w:rsidRPr="00FE1440">
        <w:rPr>
          <w:rFonts w:ascii="Times New Roman" w:hAnsi="Times New Roman"/>
        </w:rPr>
        <w:t xml:space="preserve">Based on the observation, RAN2 is kindly asked to discuss and agree on the following proposals. </w:t>
      </w:r>
    </w:p>
    <w:p w14:paraId="3914C84F" w14:textId="69F8E503" w:rsidR="00455084" w:rsidRDefault="00FE1440" w:rsidP="009C25D6">
      <w:pPr>
        <w:pStyle w:val="BodyText"/>
        <w:rPr>
          <w:rFonts w:ascii="Times New Roman" w:hAnsi="Times New Roman"/>
          <w:b/>
        </w:rPr>
      </w:pPr>
      <w:r w:rsidRPr="00AF3D19">
        <w:rPr>
          <w:rFonts w:ascii="Times New Roman" w:hAnsi="Times New Roman"/>
          <w:b/>
        </w:rPr>
        <w:t xml:space="preserve">Proposal 1: </w:t>
      </w:r>
      <w:r>
        <w:rPr>
          <w:rFonts w:ascii="Times New Roman" w:hAnsi="Times New Roman"/>
          <w:b/>
        </w:rPr>
        <w:t>UE can terminate the PDCCH monitoring earlier even if UE doesn’t receive the PDCCH addressed to P-RNTI.</w:t>
      </w:r>
    </w:p>
    <w:p w14:paraId="0C768B32" w14:textId="71C0A3C7" w:rsidR="00FE1440" w:rsidRDefault="00FE1440" w:rsidP="009C25D6">
      <w:pPr>
        <w:pStyle w:val="BodyText"/>
        <w:rPr>
          <w:rFonts w:ascii="Times New Roman" w:hAnsi="Times New Roman"/>
          <w:b/>
        </w:rPr>
      </w:pPr>
      <w:r>
        <w:rPr>
          <w:rFonts w:ascii="Times New Roman" w:hAnsi="Times New Roman"/>
          <w:b/>
        </w:rPr>
        <w:t>Proposal 2</w:t>
      </w:r>
      <w:r w:rsidRPr="00AF3D19">
        <w:rPr>
          <w:rFonts w:ascii="Times New Roman" w:hAnsi="Times New Roman"/>
          <w:b/>
        </w:rPr>
        <w:t xml:space="preserve">: </w:t>
      </w:r>
      <w:r>
        <w:rPr>
          <w:rFonts w:ascii="Times New Roman" w:hAnsi="Times New Roman"/>
          <w:b/>
        </w:rPr>
        <w:t>UE can terminate the PDCCH monitoring earlier based on how long the gNB has occupied the channel.</w:t>
      </w:r>
    </w:p>
    <w:p w14:paraId="06580155" w14:textId="348615FF" w:rsidR="00FE1440" w:rsidRPr="0005548C" w:rsidRDefault="00FE1440" w:rsidP="009C25D6">
      <w:pPr>
        <w:pStyle w:val="BodyText"/>
        <w:rPr>
          <w:rFonts w:ascii="Times New Roman" w:hAnsi="Times New Roman"/>
          <w:b/>
        </w:rPr>
      </w:pPr>
      <w:r w:rsidRPr="00AF3D19">
        <w:rPr>
          <w:rFonts w:ascii="Times New Roman" w:hAnsi="Times New Roman"/>
          <w:b/>
        </w:rPr>
        <w:t xml:space="preserve">Proposal </w:t>
      </w:r>
      <w:r>
        <w:rPr>
          <w:rFonts w:ascii="Times New Roman" w:hAnsi="Times New Roman"/>
          <w:b/>
        </w:rPr>
        <w:t>3</w:t>
      </w:r>
      <w:r w:rsidRPr="00AF3D19">
        <w:rPr>
          <w:rFonts w:ascii="Times New Roman" w:hAnsi="Times New Roman"/>
          <w:b/>
        </w:rPr>
        <w:t xml:space="preserve">: RAN2 </w:t>
      </w:r>
      <w:r>
        <w:rPr>
          <w:rFonts w:ascii="Times New Roman" w:hAnsi="Times New Roman"/>
          <w:b/>
        </w:rPr>
        <w:t>applies</w:t>
      </w:r>
      <w:r w:rsidRPr="00AF3D19">
        <w:rPr>
          <w:rFonts w:ascii="Times New Roman" w:hAnsi="Times New Roman"/>
          <w:b/>
        </w:rPr>
        <w:t xml:space="preserve"> </w:t>
      </w:r>
      <w:r>
        <w:rPr>
          <w:rFonts w:ascii="Times New Roman" w:hAnsi="Times New Roman"/>
          <w:b/>
        </w:rPr>
        <w:t>a unified scheme for UE to terminate the PDCCH monitoring earlier for at least the DRX, paging, and SI acquisition operations in NR-U.</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lastRenderedPageBreak/>
        <w:t>References</w:t>
      </w:r>
    </w:p>
    <w:p w14:paraId="753CE358" w14:textId="0D7F0E11" w:rsidR="009E0248" w:rsidRDefault="00D80AC9" w:rsidP="00D80AC9">
      <w:pPr>
        <w:pStyle w:val="Reference"/>
        <w:rPr>
          <w:rFonts w:ascii="Times New Roman" w:hAnsi="Times New Roman" w:cs="Times New Roman"/>
          <w:sz w:val="20"/>
          <w:szCs w:val="20"/>
          <w:lang w:eastAsia="en-US"/>
        </w:rPr>
      </w:pPr>
      <w:r w:rsidRPr="00D80AC9">
        <w:rPr>
          <w:rFonts w:ascii="Times New Roman" w:hAnsi="Times New Roman" w:cs="Times New Roman"/>
          <w:sz w:val="20"/>
          <w:szCs w:val="20"/>
          <w:lang w:eastAsia="en-US"/>
        </w:rPr>
        <w:t>RAN1 ad-Hoc 1901 chairman note</w:t>
      </w:r>
      <w:r w:rsidR="001F3EE1">
        <w:rPr>
          <w:rFonts w:ascii="Times New Roman" w:hAnsi="Times New Roman" w:cs="Times New Roman"/>
          <w:sz w:val="20"/>
          <w:szCs w:val="20"/>
          <w:lang w:eastAsia="en-US"/>
        </w:rPr>
        <w:t>.</w:t>
      </w:r>
    </w:p>
    <w:p w14:paraId="5E4B5E44" w14:textId="7EBBC3FE" w:rsidR="00F03BE6" w:rsidRPr="00D80AC9" w:rsidRDefault="00F03BE6" w:rsidP="00F03BE6">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 xml:space="preserve">R2-1904130, </w:t>
      </w:r>
      <w:r w:rsidRPr="00F03BE6">
        <w:rPr>
          <w:rFonts w:ascii="Times New Roman" w:hAnsi="Times New Roman" w:cs="Times New Roman"/>
          <w:sz w:val="20"/>
          <w:szCs w:val="20"/>
          <w:lang w:eastAsia="en-US"/>
        </w:rPr>
        <w:t>DRX enhancement for NR-U</w:t>
      </w:r>
      <w:r>
        <w:rPr>
          <w:rFonts w:ascii="Times New Roman" w:hAnsi="Times New Roman" w:cs="Times New Roman"/>
          <w:sz w:val="20"/>
          <w:szCs w:val="20"/>
          <w:lang w:eastAsia="en-US"/>
        </w:rPr>
        <w:t>, Panasonic.</w:t>
      </w:r>
    </w:p>
    <w:sectPr w:rsidR="00F03BE6" w:rsidRPr="00D80AC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218BF" w14:textId="77777777" w:rsidR="00D3170C" w:rsidRDefault="00D3170C">
      <w:r>
        <w:separator/>
      </w:r>
    </w:p>
  </w:endnote>
  <w:endnote w:type="continuationSeparator" w:id="0">
    <w:p w14:paraId="4665EF3E" w14:textId="77777777" w:rsidR="00D3170C" w:rsidRDefault="00D3170C">
      <w:r>
        <w:continuationSeparator/>
      </w:r>
    </w:p>
  </w:endnote>
  <w:endnote w:type="continuationNotice" w:id="1">
    <w:p w14:paraId="15E22679" w14:textId="77777777" w:rsidR="00D3170C" w:rsidRDefault="00D317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Malgun Gothic Semilight"/>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41DB10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1BD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1BD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F2986" w14:textId="77777777" w:rsidR="00D3170C" w:rsidRDefault="00D3170C">
      <w:r>
        <w:separator/>
      </w:r>
    </w:p>
  </w:footnote>
  <w:footnote w:type="continuationSeparator" w:id="0">
    <w:p w14:paraId="54AA7CC5" w14:textId="77777777" w:rsidR="00D3170C" w:rsidRDefault="00D3170C">
      <w:r>
        <w:continuationSeparator/>
      </w:r>
    </w:p>
  </w:footnote>
  <w:footnote w:type="continuationNotice" w:id="1">
    <w:p w14:paraId="21E50538" w14:textId="77777777" w:rsidR="00D3170C" w:rsidRDefault="00D3170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F6DFE"/>
    <w:multiLevelType w:val="hybridMultilevel"/>
    <w:tmpl w:val="CEECE3C2"/>
    <w:lvl w:ilvl="0" w:tplc="8FB0E89E">
      <w:start w:val="1287"/>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1"/>
  </w:num>
  <w:num w:numId="6">
    <w:abstractNumId w:val="7"/>
  </w:num>
  <w:num w:numId="7">
    <w:abstractNumId w:val="11"/>
  </w:num>
  <w:num w:numId="8">
    <w:abstractNumId w:val="2"/>
  </w:num>
  <w:num w:numId="9">
    <w:abstractNumId w:val="10"/>
  </w:num>
  <w:num w:numId="10">
    <w:abstractNumId w:val="9"/>
  </w:num>
  <w:num w:numId="11">
    <w:abstractNumId w:val="5"/>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018"/>
    <w:rsid w:val="000002B5"/>
    <w:rsid w:val="000006E1"/>
    <w:rsid w:val="00000CE0"/>
    <w:rsid w:val="0000130C"/>
    <w:rsid w:val="00001C5B"/>
    <w:rsid w:val="0000283C"/>
    <w:rsid w:val="00002A37"/>
    <w:rsid w:val="00003C2D"/>
    <w:rsid w:val="00003E78"/>
    <w:rsid w:val="00006446"/>
    <w:rsid w:val="00006896"/>
    <w:rsid w:val="00006B52"/>
    <w:rsid w:val="00006B58"/>
    <w:rsid w:val="00006E96"/>
    <w:rsid w:val="00007B21"/>
    <w:rsid w:val="00007CDC"/>
    <w:rsid w:val="00010088"/>
    <w:rsid w:val="00010418"/>
    <w:rsid w:val="00010F6C"/>
    <w:rsid w:val="00011153"/>
    <w:rsid w:val="00011B28"/>
    <w:rsid w:val="0001207F"/>
    <w:rsid w:val="00012D65"/>
    <w:rsid w:val="0001302D"/>
    <w:rsid w:val="00014E6A"/>
    <w:rsid w:val="00015D15"/>
    <w:rsid w:val="00016E88"/>
    <w:rsid w:val="000176B2"/>
    <w:rsid w:val="00020538"/>
    <w:rsid w:val="0002092F"/>
    <w:rsid w:val="00024389"/>
    <w:rsid w:val="00025237"/>
    <w:rsid w:val="0002564D"/>
    <w:rsid w:val="00025CB6"/>
    <w:rsid w:val="00025ECA"/>
    <w:rsid w:val="0002609C"/>
    <w:rsid w:val="000268DB"/>
    <w:rsid w:val="00026C33"/>
    <w:rsid w:val="000275A4"/>
    <w:rsid w:val="00027939"/>
    <w:rsid w:val="000302D0"/>
    <w:rsid w:val="00030C52"/>
    <w:rsid w:val="00030FCA"/>
    <w:rsid w:val="000310E8"/>
    <w:rsid w:val="00031C79"/>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25B"/>
    <w:rsid w:val="0004348C"/>
    <w:rsid w:val="000439E0"/>
    <w:rsid w:val="00043BB4"/>
    <w:rsid w:val="00043C6F"/>
    <w:rsid w:val="000444EF"/>
    <w:rsid w:val="0004524F"/>
    <w:rsid w:val="000455B9"/>
    <w:rsid w:val="00045A57"/>
    <w:rsid w:val="0004717A"/>
    <w:rsid w:val="000473BB"/>
    <w:rsid w:val="00047632"/>
    <w:rsid w:val="00050B9F"/>
    <w:rsid w:val="00051FE1"/>
    <w:rsid w:val="00052A07"/>
    <w:rsid w:val="00052BC2"/>
    <w:rsid w:val="000534E3"/>
    <w:rsid w:val="0005446F"/>
    <w:rsid w:val="000553D0"/>
    <w:rsid w:val="0005548C"/>
    <w:rsid w:val="0005606A"/>
    <w:rsid w:val="00057117"/>
    <w:rsid w:val="00057794"/>
    <w:rsid w:val="00057E2C"/>
    <w:rsid w:val="00060FD1"/>
    <w:rsid w:val="000616E7"/>
    <w:rsid w:val="00061B9F"/>
    <w:rsid w:val="00061DB5"/>
    <w:rsid w:val="00062447"/>
    <w:rsid w:val="00062C87"/>
    <w:rsid w:val="000630E9"/>
    <w:rsid w:val="0006487E"/>
    <w:rsid w:val="00064912"/>
    <w:rsid w:val="00065E1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C7"/>
    <w:rsid w:val="00077E5F"/>
    <w:rsid w:val="0008036A"/>
    <w:rsid w:val="00080D76"/>
    <w:rsid w:val="00081AE6"/>
    <w:rsid w:val="000821B8"/>
    <w:rsid w:val="000827FB"/>
    <w:rsid w:val="00082C4E"/>
    <w:rsid w:val="000841B9"/>
    <w:rsid w:val="000841EB"/>
    <w:rsid w:val="00084245"/>
    <w:rsid w:val="0008434E"/>
    <w:rsid w:val="000855EB"/>
    <w:rsid w:val="00085B52"/>
    <w:rsid w:val="00085FCD"/>
    <w:rsid w:val="00086643"/>
    <w:rsid w:val="000866F2"/>
    <w:rsid w:val="0009009F"/>
    <w:rsid w:val="00090100"/>
    <w:rsid w:val="00090B21"/>
    <w:rsid w:val="00090C1D"/>
    <w:rsid w:val="00091557"/>
    <w:rsid w:val="00091BD8"/>
    <w:rsid w:val="000924C1"/>
    <w:rsid w:val="000924F0"/>
    <w:rsid w:val="0009258F"/>
    <w:rsid w:val="00093474"/>
    <w:rsid w:val="000937D0"/>
    <w:rsid w:val="0009510F"/>
    <w:rsid w:val="000963BB"/>
    <w:rsid w:val="000968B0"/>
    <w:rsid w:val="000969CB"/>
    <w:rsid w:val="000A01BF"/>
    <w:rsid w:val="000A0685"/>
    <w:rsid w:val="000A0795"/>
    <w:rsid w:val="000A1807"/>
    <w:rsid w:val="000A19D5"/>
    <w:rsid w:val="000A1B7B"/>
    <w:rsid w:val="000A317C"/>
    <w:rsid w:val="000A33F1"/>
    <w:rsid w:val="000A56F2"/>
    <w:rsid w:val="000A5B49"/>
    <w:rsid w:val="000A7958"/>
    <w:rsid w:val="000A7F85"/>
    <w:rsid w:val="000B2719"/>
    <w:rsid w:val="000B2793"/>
    <w:rsid w:val="000B3A0A"/>
    <w:rsid w:val="000B3A8F"/>
    <w:rsid w:val="000B4AB9"/>
    <w:rsid w:val="000B4CF7"/>
    <w:rsid w:val="000B58C3"/>
    <w:rsid w:val="000B5E96"/>
    <w:rsid w:val="000B61E9"/>
    <w:rsid w:val="000B6C23"/>
    <w:rsid w:val="000B78AE"/>
    <w:rsid w:val="000B7CF7"/>
    <w:rsid w:val="000C0B03"/>
    <w:rsid w:val="000C0EC5"/>
    <w:rsid w:val="000C165A"/>
    <w:rsid w:val="000C2E19"/>
    <w:rsid w:val="000C302A"/>
    <w:rsid w:val="000C3084"/>
    <w:rsid w:val="000C401F"/>
    <w:rsid w:val="000C480E"/>
    <w:rsid w:val="000C65B7"/>
    <w:rsid w:val="000C77FF"/>
    <w:rsid w:val="000C7AC4"/>
    <w:rsid w:val="000D0D07"/>
    <w:rsid w:val="000D1062"/>
    <w:rsid w:val="000D1C00"/>
    <w:rsid w:val="000D220F"/>
    <w:rsid w:val="000D2ACE"/>
    <w:rsid w:val="000D2C8C"/>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3AF3"/>
    <w:rsid w:val="000F3BE9"/>
    <w:rsid w:val="000F3DC9"/>
    <w:rsid w:val="000F3DFC"/>
    <w:rsid w:val="000F3F6C"/>
    <w:rsid w:val="000F41EC"/>
    <w:rsid w:val="000F5904"/>
    <w:rsid w:val="000F5DA0"/>
    <w:rsid w:val="000F6DF3"/>
    <w:rsid w:val="001005FF"/>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2AC"/>
    <w:rsid w:val="00127B88"/>
    <w:rsid w:val="00127E49"/>
    <w:rsid w:val="00130E77"/>
    <w:rsid w:val="001313E8"/>
    <w:rsid w:val="00131EC3"/>
    <w:rsid w:val="0013252E"/>
    <w:rsid w:val="00132FD0"/>
    <w:rsid w:val="00133CEB"/>
    <w:rsid w:val="001344C0"/>
    <w:rsid w:val="001346FA"/>
    <w:rsid w:val="001349CE"/>
    <w:rsid w:val="00134E9D"/>
    <w:rsid w:val="00135252"/>
    <w:rsid w:val="00135588"/>
    <w:rsid w:val="00135631"/>
    <w:rsid w:val="0013596B"/>
    <w:rsid w:val="00136EA6"/>
    <w:rsid w:val="00137AB5"/>
    <w:rsid w:val="00137F0B"/>
    <w:rsid w:val="00140A5D"/>
    <w:rsid w:val="00141688"/>
    <w:rsid w:val="001416F8"/>
    <w:rsid w:val="00141A7D"/>
    <w:rsid w:val="001427E7"/>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3049"/>
    <w:rsid w:val="001632FD"/>
    <w:rsid w:val="0016359E"/>
    <w:rsid w:val="00163F63"/>
    <w:rsid w:val="001643A8"/>
    <w:rsid w:val="00164543"/>
    <w:rsid w:val="0016465B"/>
    <w:rsid w:val="00164B82"/>
    <w:rsid w:val="001659C1"/>
    <w:rsid w:val="00165A59"/>
    <w:rsid w:val="00165BEA"/>
    <w:rsid w:val="0016607D"/>
    <w:rsid w:val="00166FA0"/>
    <w:rsid w:val="00167267"/>
    <w:rsid w:val="0017123E"/>
    <w:rsid w:val="00171A1F"/>
    <w:rsid w:val="00171D4D"/>
    <w:rsid w:val="00171D60"/>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2488"/>
    <w:rsid w:val="00190AC1"/>
    <w:rsid w:val="00191CFF"/>
    <w:rsid w:val="00191E9E"/>
    <w:rsid w:val="00192169"/>
    <w:rsid w:val="00192173"/>
    <w:rsid w:val="001928DE"/>
    <w:rsid w:val="00192C10"/>
    <w:rsid w:val="00192EAC"/>
    <w:rsid w:val="0019341A"/>
    <w:rsid w:val="00194BBD"/>
    <w:rsid w:val="00195520"/>
    <w:rsid w:val="001958B6"/>
    <w:rsid w:val="001963B6"/>
    <w:rsid w:val="00197653"/>
    <w:rsid w:val="00197DF9"/>
    <w:rsid w:val="001A1987"/>
    <w:rsid w:val="001A2564"/>
    <w:rsid w:val="001A2803"/>
    <w:rsid w:val="001A2C49"/>
    <w:rsid w:val="001A45EE"/>
    <w:rsid w:val="001A5E6F"/>
    <w:rsid w:val="001A6173"/>
    <w:rsid w:val="001A6CBA"/>
    <w:rsid w:val="001A6D86"/>
    <w:rsid w:val="001A7511"/>
    <w:rsid w:val="001A7A50"/>
    <w:rsid w:val="001B0B91"/>
    <w:rsid w:val="001B0D97"/>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495"/>
    <w:rsid w:val="001C67E3"/>
    <w:rsid w:val="001C7E33"/>
    <w:rsid w:val="001D02D8"/>
    <w:rsid w:val="001D0E59"/>
    <w:rsid w:val="001D280D"/>
    <w:rsid w:val="001D3AD3"/>
    <w:rsid w:val="001D4132"/>
    <w:rsid w:val="001D4AB7"/>
    <w:rsid w:val="001D4ABC"/>
    <w:rsid w:val="001D51BA"/>
    <w:rsid w:val="001D6342"/>
    <w:rsid w:val="001D6461"/>
    <w:rsid w:val="001D6D53"/>
    <w:rsid w:val="001D70A1"/>
    <w:rsid w:val="001D7C81"/>
    <w:rsid w:val="001E1450"/>
    <w:rsid w:val="001E1734"/>
    <w:rsid w:val="001E3EC8"/>
    <w:rsid w:val="001E4865"/>
    <w:rsid w:val="001E50EC"/>
    <w:rsid w:val="001E58E2"/>
    <w:rsid w:val="001E6502"/>
    <w:rsid w:val="001E663A"/>
    <w:rsid w:val="001E7AED"/>
    <w:rsid w:val="001E7D7E"/>
    <w:rsid w:val="001F0684"/>
    <w:rsid w:val="001F15FB"/>
    <w:rsid w:val="001F1BD0"/>
    <w:rsid w:val="001F217F"/>
    <w:rsid w:val="001F2307"/>
    <w:rsid w:val="001F3916"/>
    <w:rsid w:val="001F3D74"/>
    <w:rsid w:val="001F3EE1"/>
    <w:rsid w:val="001F4AB0"/>
    <w:rsid w:val="001F4D3A"/>
    <w:rsid w:val="001F54C5"/>
    <w:rsid w:val="001F5E6C"/>
    <w:rsid w:val="001F662C"/>
    <w:rsid w:val="001F7074"/>
    <w:rsid w:val="002002B1"/>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1970"/>
    <w:rsid w:val="00214DA8"/>
    <w:rsid w:val="00215423"/>
    <w:rsid w:val="002158FA"/>
    <w:rsid w:val="00216564"/>
    <w:rsid w:val="00216F4D"/>
    <w:rsid w:val="00217C70"/>
    <w:rsid w:val="002202E1"/>
    <w:rsid w:val="00220600"/>
    <w:rsid w:val="00220E6D"/>
    <w:rsid w:val="0022198A"/>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559"/>
    <w:rsid w:val="00241B98"/>
    <w:rsid w:val="00242973"/>
    <w:rsid w:val="00242A0A"/>
    <w:rsid w:val="00242F47"/>
    <w:rsid w:val="002435B3"/>
    <w:rsid w:val="00243CDE"/>
    <w:rsid w:val="00244DBD"/>
    <w:rsid w:val="0024547B"/>
    <w:rsid w:val="002454D4"/>
    <w:rsid w:val="002458EB"/>
    <w:rsid w:val="00245F26"/>
    <w:rsid w:val="002472AB"/>
    <w:rsid w:val="002500C8"/>
    <w:rsid w:val="00250F16"/>
    <w:rsid w:val="0025167F"/>
    <w:rsid w:val="00251EFA"/>
    <w:rsid w:val="002543D7"/>
    <w:rsid w:val="00255562"/>
    <w:rsid w:val="00257474"/>
    <w:rsid w:val="00257543"/>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67EE4"/>
    <w:rsid w:val="0027144F"/>
    <w:rsid w:val="00271F3A"/>
    <w:rsid w:val="00273278"/>
    <w:rsid w:val="002737F4"/>
    <w:rsid w:val="002753B3"/>
    <w:rsid w:val="002767AE"/>
    <w:rsid w:val="00276F33"/>
    <w:rsid w:val="00277CAE"/>
    <w:rsid w:val="0028039C"/>
    <w:rsid w:val="002803F3"/>
    <w:rsid w:val="002805F5"/>
    <w:rsid w:val="00280751"/>
    <w:rsid w:val="002807C6"/>
    <w:rsid w:val="00281F11"/>
    <w:rsid w:val="002824CE"/>
    <w:rsid w:val="0028280A"/>
    <w:rsid w:val="002867DE"/>
    <w:rsid w:val="00286928"/>
    <w:rsid w:val="00286ACD"/>
    <w:rsid w:val="00287838"/>
    <w:rsid w:val="00287895"/>
    <w:rsid w:val="00287EE2"/>
    <w:rsid w:val="002901F9"/>
    <w:rsid w:val="002907B5"/>
    <w:rsid w:val="002921B1"/>
    <w:rsid w:val="00292E71"/>
    <w:rsid w:val="00292EB7"/>
    <w:rsid w:val="00293B29"/>
    <w:rsid w:val="00293F02"/>
    <w:rsid w:val="00296227"/>
    <w:rsid w:val="00296F44"/>
    <w:rsid w:val="0029748B"/>
    <w:rsid w:val="0029774E"/>
    <w:rsid w:val="0029777D"/>
    <w:rsid w:val="002A036D"/>
    <w:rsid w:val="002A055E"/>
    <w:rsid w:val="002A164A"/>
    <w:rsid w:val="002A16E0"/>
    <w:rsid w:val="002A1D4E"/>
    <w:rsid w:val="002A2034"/>
    <w:rsid w:val="002A2117"/>
    <w:rsid w:val="002A2338"/>
    <w:rsid w:val="002A2869"/>
    <w:rsid w:val="002A2DE3"/>
    <w:rsid w:val="002A50D7"/>
    <w:rsid w:val="002A612D"/>
    <w:rsid w:val="002A6E28"/>
    <w:rsid w:val="002A7510"/>
    <w:rsid w:val="002A75FE"/>
    <w:rsid w:val="002B06F0"/>
    <w:rsid w:val="002B0AEA"/>
    <w:rsid w:val="002B0B1F"/>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E86"/>
    <w:rsid w:val="002C31CA"/>
    <w:rsid w:val="002C32A1"/>
    <w:rsid w:val="002C39FD"/>
    <w:rsid w:val="002C3E22"/>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6CE5"/>
    <w:rsid w:val="002D7637"/>
    <w:rsid w:val="002D7FC2"/>
    <w:rsid w:val="002E16A2"/>
    <w:rsid w:val="002E17F2"/>
    <w:rsid w:val="002E212F"/>
    <w:rsid w:val="002E2F9E"/>
    <w:rsid w:val="002E3CAE"/>
    <w:rsid w:val="002E3DED"/>
    <w:rsid w:val="002E6461"/>
    <w:rsid w:val="002E64DB"/>
    <w:rsid w:val="002E7CAE"/>
    <w:rsid w:val="002F0643"/>
    <w:rsid w:val="002F1CFC"/>
    <w:rsid w:val="002F1D06"/>
    <w:rsid w:val="002F246A"/>
    <w:rsid w:val="002F2771"/>
    <w:rsid w:val="002F27FA"/>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702"/>
    <w:rsid w:val="00311E82"/>
    <w:rsid w:val="00313FD6"/>
    <w:rsid w:val="003143BD"/>
    <w:rsid w:val="00314F3C"/>
    <w:rsid w:val="003177E4"/>
    <w:rsid w:val="00317B01"/>
    <w:rsid w:val="003200B8"/>
    <w:rsid w:val="003203ED"/>
    <w:rsid w:val="003207D7"/>
    <w:rsid w:val="003208C9"/>
    <w:rsid w:val="00321158"/>
    <w:rsid w:val="00322281"/>
    <w:rsid w:val="00322C9F"/>
    <w:rsid w:val="00322CD7"/>
    <w:rsid w:val="003236B0"/>
    <w:rsid w:val="0032398B"/>
    <w:rsid w:val="00323B31"/>
    <w:rsid w:val="00323E1C"/>
    <w:rsid w:val="003248B5"/>
    <w:rsid w:val="00324D23"/>
    <w:rsid w:val="003261A9"/>
    <w:rsid w:val="00327FED"/>
    <w:rsid w:val="00330406"/>
    <w:rsid w:val="00330EDC"/>
    <w:rsid w:val="00331751"/>
    <w:rsid w:val="00334579"/>
    <w:rsid w:val="00335289"/>
    <w:rsid w:val="00335858"/>
    <w:rsid w:val="00335A88"/>
    <w:rsid w:val="00336BDA"/>
    <w:rsid w:val="00337374"/>
    <w:rsid w:val="0034033C"/>
    <w:rsid w:val="0034120F"/>
    <w:rsid w:val="00342BD7"/>
    <w:rsid w:val="00342D3F"/>
    <w:rsid w:val="00343A07"/>
    <w:rsid w:val="0034436D"/>
    <w:rsid w:val="00344407"/>
    <w:rsid w:val="00344919"/>
    <w:rsid w:val="00344941"/>
    <w:rsid w:val="003453C2"/>
    <w:rsid w:val="003455D2"/>
    <w:rsid w:val="00346DB5"/>
    <w:rsid w:val="003477B1"/>
    <w:rsid w:val="00350212"/>
    <w:rsid w:val="00350342"/>
    <w:rsid w:val="00350AC7"/>
    <w:rsid w:val="00350AD1"/>
    <w:rsid w:val="00350AE0"/>
    <w:rsid w:val="00351A57"/>
    <w:rsid w:val="00351EEE"/>
    <w:rsid w:val="00351FEF"/>
    <w:rsid w:val="003526DA"/>
    <w:rsid w:val="00352F5F"/>
    <w:rsid w:val="00353EA7"/>
    <w:rsid w:val="0035419F"/>
    <w:rsid w:val="003547C6"/>
    <w:rsid w:val="0035482C"/>
    <w:rsid w:val="00355135"/>
    <w:rsid w:val="00355BDF"/>
    <w:rsid w:val="0035709A"/>
    <w:rsid w:val="00357380"/>
    <w:rsid w:val="003602D9"/>
    <w:rsid w:val="003604CE"/>
    <w:rsid w:val="003604FF"/>
    <w:rsid w:val="00361478"/>
    <w:rsid w:val="0036161E"/>
    <w:rsid w:val="00362656"/>
    <w:rsid w:val="00363427"/>
    <w:rsid w:val="0036510C"/>
    <w:rsid w:val="00365A6D"/>
    <w:rsid w:val="003665AC"/>
    <w:rsid w:val="00366717"/>
    <w:rsid w:val="00366D3B"/>
    <w:rsid w:val="003670B6"/>
    <w:rsid w:val="003679E4"/>
    <w:rsid w:val="00367DC8"/>
    <w:rsid w:val="00370CF1"/>
    <w:rsid w:val="00370E47"/>
    <w:rsid w:val="003714E8"/>
    <w:rsid w:val="0037177D"/>
    <w:rsid w:val="00372800"/>
    <w:rsid w:val="003735E5"/>
    <w:rsid w:val="003742AC"/>
    <w:rsid w:val="00374C70"/>
    <w:rsid w:val="00375204"/>
    <w:rsid w:val="00375EC2"/>
    <w:rsid w:val="003768C5"/>
    <w:rsid w:val="00377904"/>
    <w:rsid w:val="00377CE1"/>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4F7B"/>
    <w:rsid w:val="003A54E1"/>
    <w:rsid w:val="003A5B0A"/>
    <w:rsid w:val="003A6BAC"/>
    <w:rsid w:val="003A79AD"/>
    <w:rsid w:val="003A7CD4"/>
    <w:rsid w:val="003A7EF3"/>
    <w:rsid w:val="003B159C"/>
    <w:rsid w:val="003B2D90"/>
    <w:rsid w:val="003B369F"/>
    <w:rsid w:val="003B36A3"/>
    <w:rsid w:val="003B4BA5"/>
    <w:rsid w:val="003B4D22"/>
    <w:rsid w:val="003B4F17"/>
    <w:rsid w:val="003B608D"/>
    <w:rsid w:val="003B72A4"/>
    <w:rsid w:val="003B7FE5"/>
    <w:rsid w:val="003C10D1"/>
    <w:rsid w:val="003C11C8"/>
    <w:rsid w:val="003C15B6"/>
    <w:rsid w:val="003C1869"/>
    <w:rsid w:val="003C2702"/>
    <w:rsid w:val="003C383A"/>
    <w:rsid w:val="003C4788"/>
    <w:rsid w:val="003C580F"/>
    <w:rsid w:val="003C5A74"/>
    <w:rsid w:val="003C6B8E"/>
    <w:rsid w:val="003C7806"/>
    <w:rsid w:val="003C7BD8"/>
    <w:rsid w:val="003C7FE9"/>
    <w:rsid w:val="003D03A4"/>
    <w:rsid w:val="003D109F"/>
    <w:rsid w:val="003D1E65"/>
    <w:rsid w:val="003D2478"/>
    <w:rsid w:val="003D2FC4"/>
    <w:rsid w:val="003D387A"/>
    <w:rsid w:val="003D3C45"/>
    <w:rsid w:val="003D4532"/>
    <w:rsid w:val="003D45DF"/>
    <w:rsid w:val="003D5B1F"/>
    <w:rsid w:val="003D682F"/>
    <w:rsid w:val="003D6C6C"/>
    <w:rsid w:val="003D6F22"/>
    <w:rsid w:val="003E15FA"/>
    <w:rsid w:val="003E240E"/>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CD4"/>
    <w:rsid w:val="003F3712"/>
    <w:rsid w:val="003F45E6"/>
    <w:rsid w:val="003F6A7D"/>
    <w:rsid w:val="003F6BBE"/>
    <w:rsid w:val="004000E8"/>
    <w:rsid w:val="004013E0"/>
    <w:rsid w:val="004014F3"/>
    <w:rsid w:val="00402DD0"/>
    <w:rsid w:val="00402E2B"/>
    <w:rsid w:val="004036D7"/>
    <w:rsid w:val="00403E95"/>
    <w:rsid w:val="00403F24"/>
    <w:rsid w:val="004043D0"/>
    <w:rsid w:val="0040512B"/>
    <w:rsid w:val="00405CA5"/>
    <w:rsid w:val="00406893"/>
    <w:rsid w:val="0040715C"/>
    <w:rsid w:val="00407CD3"/>
    <w:rsid w:val="00410134"/>
    <w:rsid w:val="00410B72"/>
    <w:rsid w:val="00410F18"/>
    <w:rsid w:val="0041263E"/>
    <w:rsid w:val="00412AF8"/>
    <w:rsid w:val="00413AAC"/>
    <w:rsid w:val="00413DB5"/>
    <w:rsid w:val="004153BF"/>
    <w:rsid w:val="00416B1B"/>
    <w:rsid w:val="00417C7D"/>
    <w:rsid w:val="00417DC5"/>
    <w:rsid w:val="00420DC3"/>
    <w:rsid w:val="00421105"/>
    <w:rsid w:val="00421755"/>
    <w:rsid w:val="004219AC"/>
    <w:rsid w:val="00421B60"/>
    <w:rsid w:val="004223B0"/>
    <w:rsid w:val="004234D8"/>
    <w:rsid w:val="00423935"/>
    <w:rsid w:val="004242F4"/>
    <w:rsid w:val="00424522"/>
    <w:rsid w:val="00426E95"/>
    <w:rsid w:val="00427248"/>
    <w:rsid w:val="004273CA"/>
    <w:rsid w:val="00427C68"/>
    <w:rsid w:val="00430CC9"/>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BA0"/>
    <w:rsid w:val="00446488"/>
    <w:rsid w:val="0044688C"/>
    <w:rsid w:val="00447DA7"/>
    <w:rsid w:val="00447DC4"/>
    <w:rsid w:val="00447FB9"/>
    <w:rsid w:val="00450BB8"/>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4BD"/>
    <w:rsid w:val="00462F46"/>
    <w:rsid w:val="0046300D"/>
    <w:rsid w:val="004632DD"/>
    <w:rsid w:val="00463649"/>
    <w:rsid w:val="00463E27"/>
    <w:rsid w:val="00464200"/>
    <w:rsid w:val="00464C78"/>
    <w:rsid w:val="00465F3A"/>
    <w:rsid w:val="004669E2"/>
    <w:rsid w:val="004671E7"/>
    <w:rsid w:val="00470C31"/>
    <w:rsid w:val="004718B6"/>
    <w:rsid w:val="00472BF3"/>
    <w:rsid w:val="004734D0"/>
    <w:rsid w:val="00473BAD"/>
    <w:rsid w:val="00474804"/>
    <w:rsid w:val="004750E0"/>
    <w:rsid w:val="0047556B"/>
    <w:rsid w:val="004759D0"/>
    <w:rsid w:val="00475E23"/>
    <w:rsid w:val="004769FA"/>
    <w:rsid w:val="00477768"/>
    <w:rsid w:val="0048045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083C"/>
    <w:rsid w:val="004A16BC"/>
    <w:rsid w:val="004A2B94"/>
    <w:rsid w:val="004A3B58"/>
    <w:rsid w:val="004A401F"/>
    <w:rsid w:val="004A40BE"/>
    <w:rsid w:val="004A72E1"/>
    <w:rsid w:val="004A7E7F"/>
    <w:rsid w:val="004B1265"/>
    <w:rsid w:val="004B2FD1"/>
    <w:rsid w:val="004B3947"/>
    <w:rsid w:val="004B3ACB"/>
    <w:rsid w:val="004B5344"/>
    <w:rsid w:val="004B7C0C"/>
    <w:rsid w:val="004C01C8"/>
    <w:rsid w:val="004C2328"/>
    <w:rsid w:val="004C2F27"/>
    <w:rsid w:val="004C3898"/>
    <w:rsid w:val="004C646D"/>
    <w:rsid w:val="004C6883"/>
    <w:rsid w:val="004C6EDD"/>
    <w:rsid w:val="004C70EA"/>
    <w:rsid w:val="004D0261"/>
    <w:rsid w:val="004D1583"/>
    <w:rsid w:val="004D2237"/>
    <w:rsid w:val="004D2C24"/>
    <w:rsid w:val="004D36B1"/>
    <w:rsid w:val="004D4267"/>
    <w:rsid w:val="004D4B39"/>
    <w:rsid w:val="004D624E"/>
    <w:rsid w:val="004D6568"/>
    <w:rsid w:val="004D7CD0"/>
    <w:rsid w:val="004D7EBD"/>
    <w:rsid w:val="004E0BD6"/>
    <w:rsid w:val="004E1299"/>
    <w:rsid w:val="004E1865"/>
    <w:rsid w:val="004E1A9A"/>
    <w:rsid w:val="004E2680"/>
    <w:rsid w:val="004E2847"/>
    <w:rsid w:val="004E28F9"/>
    <w:rsid w:val="004E2A64"/>
    <w:rsid w:val="004E2C7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A94"/>
    <w:rsid w:val="00504CCC"/>
    <w:rsid w:val="005052CC"/>
    <w:rsid w:val="00505477"/>
    <w:rsid w:val="00506557"/>
    <w:rsid w:val="0050677A"/>
    <w:rsid w:val="00507454"/>
    <w:rsid w:val="005079A0"/>
    <w:rsid w:val="0051062E"/>
    <w:rsid w:val="005108D8"/>
    <w:rsid w:val="005111A1"/>
    <w:rsid w:val="005116F9"/>
    <w:rsid w:val="00511C94"/>
    <w:rsid w:val="005127BF"/>
    <w:rsid w:val="00514D57"/>
    <w:rsid w:val="005153A7"/>
    <w:rsid w:val="005154C5"/>
    <w:rsid w:val="005169E9"/>
    <w:rsid w:val="0051755D"/>
    <w:rsid w:val="0051763A"/>
    <w:rsid w:val="00517736"/>
    <w:rsid w:val="005219CF"/>
    <w:rsid w:val="00521B52"/>
    <w:rsid w:val="00522D07"/>
    <w:rsid w:val="005258C1"/>
    <w:rsid w:val="00525F75"/>
    <w:rsid w:val="0052622B"/>
    <w:rsid w:val="00526413"/>
    <w:rsid w:val="005267A6"/>
    <w:rsid w:val="00526C0D"/>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29CD"/>
    <w:rsid w:val="00543046"/>
    <w:rsid w:val="00543336"/>
    <w:rsid w:val="00543741"/>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3B7E"/>
    <w:rsid w:val="00564C6D"/>
    <w:rsid w:val="00565064"/>
    <w:rsid w:val="00566F0B"/>
    <w:rsid w:val="00572505"/>
    <w:rsid w:val="00572B3D"/>
    <w:rsid w:val="00573026"/>
    <w:rsid w:val="005733BD"/>
    <w:rsid w:val="00573A1A"/>
    <w:rsid w:val="00580202"/>
    <w:rsid w:val="0058045B"/>
    <w:rsid w:val="00580CA0"/>
    <w:rsid w:val="00581146"/>
    <w:rsid w:val="00581E64"/>
    <w:rsid w:val="00582809"/>
    <w:rsid w:val="00582A4A"/>
    <w:rsid w:val="00582D44"/>
    <w:rsid w:val="00584ABE"/>
    <w:rsid w:val="00585015"/>
    <w:rsid w:val="005874C6"/>
    <w:rsid w:val="0058798C"/>
    <w:rsid w:val="005900FA"/>
    <w:rsid w:val="005906A3"/>
    <w:rsid w:val="00591C46"/>
    <w:rsid w:val="005923F4"/>
    <w:rsid w:val="0059314B"/>
    <w:rsid w:val="005935A4"/>
    <w:rsid w:val="00593CD0"/>
    <w:rsid w:val="005948C2"/>
    <w:rsid w:val="00594F8D"/>
    <w:rsid w:val="00595DCA"/>
    <w:rsid w:val="0059779B"/>
    <w:rsid w:val="005A043F"/>
    <w:rsid w:val="005A0503"/>
    <w:rsid w:val="005A0D5F"/>
    <w:rsid w:val="005A209A"/>
    <w:rsid w:val="005A21FF"/>
    <w:rsid w:val="005A2A38"/>
    <w:rsid w:val="005A3A84"/>
    <w:rsid w:val="005A3ADD"/>
    <w:rsid w:val="005A43F5"/>
    <w:rsid w:val="005A4518"/>
    <w:rsid w:val="005A4615"/>
    <w:rsid w:val="005A5323"/>
    <w:rsid w:val="005A65A0"/>
    <w:rsid w:val="005A662D"/>
    <w:rsid w:val="005A67FF"/>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63AB"/>
    <w:rsid w:val="005C63BB"/>
    <w:rsid w:val="005C74FB"/>
    <w:rsid w:val="005D1498"/>
    <w:rsid w:val="005D1602"/>
    <w:rsid w:val="005D1A70"/>
    <w:rsid w:val="005D30D3"/>
    <w:rsid w:val="005D4F57"/>
    <w:rsid w:val="005D65DE"/>
    <w:rsid w:val="005D6B0B"/>
    <w:rsid w:val="005D7BBD"/>
    <w:rsid w:val="005D7F9B"/>
    <w:rsid w:val="005E0C2F"/>
    <w:rsid w:val="005E30FD"/>
    <w:rsid w:val="005E3221"/>
    <w:rsid w:val="005E385F"/>
    <w:rsid w:val="005E3915"/>
    <w:rsid w:val="005E4596"/>
    <w:rsid w:val="005E594B"/>
    <w:rsid w:val="005E5B81"/>
    <w:rsid w:val="005E5D85"/>
    <w:rsid w:val="005E6D31"/>
    <w:rsid w:val="005E7953"/>
    <w:rsid w:val="005F0652"/>
    <w:rsid w:val="005F06E0"/>
    <w:rsid w:val="005F0B30"/>
    <w:rsid w:val="005F168C"/>
    <w:rsid w:val="005F2CB1"/>
    <w:rsid w:val="005F3025"/>
    <w:rsid w:val="005F344F"/>
    <w:rsid w:val="005F3AC1"/>
    <w:rsid w:val="005F3E41"/>
    <w:rsid w:val="005F4D03"/>
    <w:rsid w:val="005F50BF"/>
    <w:rsid w:val="005F528E"/>
    <w:rsid w:val="005F618C"/>
    <w:rsid w:val="005F70BD"/>
    <w:rsid w:val="00600BD2"/>
    <w:rsid w:val="00601ACA"/>
    <w:rsid w:val="00601C5A"/>
    <w:rsid w:val="0060283C"/>
    <w:rsid w:val="00603C0A"/>
    <w:rsid w:val="00604F14"/>
    <w:rsid w:val="00605F62"/>
    <w:rsid w:val="0060688F"/>
    <w:rsid w:val="00610371"/>
    <w:rsid w:val="00611B32"/>
    <w:rsid w:val="00611B83"/>
    <w:rsid w:val="00611BEC"/>
    <w:rsid w:val="00611DE2"/>
    <w:rsid w:val="00612F93"/>
    <w:rsid w:val="00613257"/>
    <w:rsid w:val="00614555"/>
    <w:rsid w:val="00614BD7"/>
    <w:rsid w:val="0061621D"/>
    <w:rsid w:val="00616C82"/>
    <w:rsid w:val="00620A71"/>
    <w:rsid w:val="00620D80"/>
    <w:rsid w:val="00621524"/>
    <w:rsid w:val="0062258F"/>
    <w:rsid w:val="006234A6"/>
    <w:rsid w:val="00624D23"/>
    <w:rsid w:val="00624F8F"/>
    <w:rsid w:val="00625232"/>
    <w:rsid w:val="006276C5"/>
    <w:rsid w:val="0062782E"/>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FC0"/>
    <w:rsid w:val="0064151F"/>
    <w:rsid w:val="00641533"/>
    <w:rsid w:val="0064208D"/>
    <w:rsid w:val="00642990"/>
    <w:rsid w:val="0064304C"/>
    <w:rsid w:val="00643475"/>
    <w:rsid w:val="0064396A"/>
    <w:rsid w:val="00643A41"/>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A92"/>
    <w:rsid w:val="00656DDE"/>
    <w:rsid w:val="0066011D"/>
    <w:rsid w:val="006607C0"/>
    <w:rsid w:val="006613A6"/>
    <w:rsid w:val="006627A2"/>
    <w:rsid w:val="006634E6"/>
    <w:rsid w:val="006639D9"/>
    <w:rsid w:val="00663BE6"/>
    <w:rsid w:val="0066547A"/>
    <w:rsid w:val="006655EE"/>
    <w:rsid w:val="00667EE7"/>
    <w:rsid w:val="00670051"/>
    <w:rsid w:val="00670922"/>
    <w:rsid w:val="00670BE1"/>
    <w:rsid w:val="00670E0F"/>
    <w:rsid w:val="006711A3"/>
    <w:rsid w:val="0067218F"/>
    <w:rsid w:val="00673C16"/>
    <w:rsid w:val="006741F2"/>
    <w:rsid w:val="006744A9"/>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8ED"/>
    <w:rsid w:val="00692B16"/>
    <w:rsid w:val="00694683"/>
    <w:rsid w:val="00695FC2"/>
    <w:rsid w:val="006965B8"/>
    <w:rsid w:val="00696949"/>
    <w:rsid w:val="00697052"/>
    <w:rsid w:val="00697220"/>
    <w:rsid w:val="006979A5"/>
    <w:rsid w:val="006A0069"/>
    <w:rsid w:val="006A02F1"/>
    <w:rsid w:val="006A0325"/>
    <w:rsid w:val="006A08FD"/>
    <w:rsid w:val="006A0AA2"/>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191"/>
    <w:rsid w:val="006B5C2B"/>
    <w:rsid w:val="006B5EE4"/>
    <w:rsid w:val="006B67CF"/>
    <w:rsid w:val="006B68AD"/>
    <w:rsid w:val="006B6BC3"/>
    <w:rsid w:val="006B77B1"/>
    <w:rsid w:val="006C03B8"/>
    <w:rsid w:val="006C0576"/>
    <w:rsid w:val="006C0A15"/>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4E39"/>
    <w:rsid w:val="006E565E"/>
    <w:rsid w:val="006E5CE1"/>
    <w:rsid w:val="006E61DD"/>
    <w:rsid w:val="006E64B5"/>
    <w:rsid w:val="006E673D"/>
    <w:rsid w:val="006E7D3B"/>
    <w:rsid w:val="006F0B65"/>
    <w:rsid w:val="006F0CAD"/>
    <w:rsid w:val="006F1917"/>
    <w:rsid w:val="006F1B70"/>
    <w:rsid w:val="006F20F6"/>
    <w:rsid w:val="006F293C"/>
    <w:rsid w:val="006F3405"/>
    <w:rsid w:val="006F341D"/>
    <w:rsid w:val="006F3CDE"/>
    <w:rsid w:val="006F4D00"/>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7072"/>
    <w:rsid w:val="00707706"/>
    <w:rsid w:val="007077C4"/>
    <w:rsid w:val="00707D61"/>
    <w:rsid w:val="00711592"/>
    <w:rsid w:val="00712287"/>
    <w:rsid w:val="007126F5"/>
    <w:rsid w:val="00712772"/>
    <w:rsid w:val="00713066"/>
    <w:rsid w:val="00713DDE"/>
    <w:rsid w:val="00713F40"/>
    <w:rsid w:val="007144F3"/>
    <w:rsid w:val="0071453A"/>
    <w:rsid w:val="0071467C"/>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62A6"/>
    <w:rsid w:val="00736964"/>
    <w:rsid w:val="00736D7D"/>
    <w:rsid w:val="00737820"/>
    <w:rsid w:val="00740344"/>
    <w:rsid w:val="00740E58"/>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490"/>
    <w:rsid w:val="007859B0"/>
    <w:rsid w:val="00787FAB"/>
    <w:rsid w:val="00790829"/>
    <w:rsid w:val="00790905"/>
    <w:rsid w:val="0079153F"/>
    <w:rsid w:val="00792486"/>
    <w:rsid w:val="0079251C"/>
    <w:rsid w:val="007925EA"/>
    <w:rsid w:val="007937EB"/>
    <w:rsid w:val="00793C4D"/>
    <w:rsid w:val="00793CD8"/>
    <w:rsid w:val="00795C92"/>
    <w:rsid w:val="00796231"/>
    <w:rsid w:val="007965FE"/>
    <w:rsid w:val="00796AB9"/>
    <w:rsid w:val="007A000A"/>
    <w:rsid w:val="007A1083"/>
    <w:rsid w:val="007A18AB"/>
    <w:rsid w:val="007A1CB3"/>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27DF"/>
    <w:rsid w:val="007B373E"/>
    <w:rsid w:val="007B3D2D"/>
    <w:rsid w:val="007B50AE"/>
    <w:rsid w:val="007B51DF"/>
    <w:rsid w:val="007B5ACB"/>
    <w:rsid w:val="007C05DD"/>
    <w:rsid w:val="007C0A75"/>
    <w:rsid w:val="007C2F4B"/>
    <w:rsid w:val="007C342A"/>
    <w:rsid w:val="007C3D18"/>
    <w:rsid w:val="007C3E6A"/>
    <w:rsid w:val="007C40D0"/>
    <w:rsid w:val="007C44CC"/>
    <w:rsid w:val="007C60BF"/>
    <w:rsid w:val="007C6384"/>
    <w:rsid w:val="007C65A6"/>
    <w:rsid w:val="007C6A07"/>
    <w:rsid w:val="007C6A6B"/>
    <w:rsid w:val="007C6ABE"/>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A94"/>
    <w:rsid w:val="007F1CC6"/>
    <w:rsid w:val="007F1E74"/>
    <w:rsid w:val="007F26F1"/>
    <w:rsid w:val="007F3853"/>
    <w:rsid w:val="007F66B1"/>
    <w:rsid w:val="007F723F"/>
    <w:rsid w:val="007F7709"/>
    <w:rsid w:val="007F7ECB"/>
    <w:rsid w:val="007F7FC1"/>
    <w:rsid w:val="0080049D"/>
    <w:rsid w:val="008036DF"/>
    <w:rsid w:val="0080378F"/>
    <w:rsid w:val="00803B8A"/>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2188"/>
    <w:rsid w:val="008224B6"/>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290E"/>
    <w:rsid w:val="00833960"/>
    <w:rsid w:val="00836544"/>
    <w:rsid w:val="00836E04"/>
    <w:rsid w:val="0083765F"/>
    <w:rsid w:val="008376AC"/>
    <w:rsid w:val="0084063F"/>
    <w:rsid w:val="00840F20"/>
    <w:rsid w:val="0084116C"/>
    <w:rsid w:val="00841CB3"/>
    <w:rsid w:val="00842795"/>
    <w:rsid w:val="008429FB"/>
    <w:rsid w:val="008444E8"/>
    <w:rsid w:val="00844E80"/>
    <w:rsid w:val="0084538C"/>
    <w:rsid w:val="00846129"/>
    <w:rsid w:val="0084661C"/>
    <w:rsid w:val="00846FE7"/>
    <w:rsid w:val="00847403"/>
    <w:rsid w:val="00847FC4"/>
    <w:rsid w:val="00850CEC"/>
    <w:rsid w:val="00850E9E"/>
    <w:rsid w:val="008526B7"/>
    <w:rsid w:val="00854B3A"/>
    <w:rsid w:val="00855CE7"/>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3089"/>
    <w:rsid w:val="00874312"/>
    <w:rsid w:val="0087437C"/>
    <w:rsid w:val="00875CD7"/>
    <w:rsid w:val="0087646B"/>
    <w:rsid w:val="00876B4D"/>
    <w:rsid w:val="00877F18"/>
    <w:rsid w:val="0088016B"/>
    <w:rsid w:val="00881029"/>
    <w:rsid w:val="00881E6C"/>
    <w:rsid w:val="0088341E"/>
    <w:rsid w:val="008834EF"/>
    <w:rsid w:val="00883E8B"/>
    <w:rsid w:val="00883EAD"/>
    <w:rsid w:val="00884366"/>
    <w:rsid w:val="00884B4C"/>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1C3"/>
    <w:rsid w:val="008A44B8"/>
    <w:rsid w:val="008A4B46"/>
    <w:rsid w:val="008A4CCF"/>
    <w:rsid w:val="008A4CE0"/>
    <w:rsid w:val="008A51A8"/>
    <w:rsid w:val="008A54C7"/>
    <w:rsid w:val="008A635F"/>
    <w:rsid w:val="008A77D8"/>
    <w:rsid w:val="008A7F6F"/>
    <w:rsid w:val="008B0483"/>
    <w:rsid w:val="008B120C"/>
    <w:rsid w:val="008B2D4C"/>
    <w:rsid w:val="008B40D0"/>
    <w:rsid w:val="008B4BEE"/>
    <w:rsid w:val="008B51A0"/>
    <w:rsid w:val="008B5563"/>
    <w:rsid w:val="008B592A"/>
    <w:rsid w:val="008B5FA2"/>
    <w:rsid w:val="008B63B8"/>
    <w:rsid w:val="008B6C30"/>
    <w:rsid w:val="008B7B5C"/>
    <w:rsid w:val="008C048C"/>
    <w:rsid w:val="008C0A0F"/>
    <w:rsid w:val="008C0C99"/>
    <w:rsid w:val="008C2017"/>
    <w:rsid w:val="008C2246"/>
    <w:rsid w:val="008C2955"/>
    <w:rsid w:val="008C374D"/>
    <w:rsid w:val="008C47C8"/>
    <w:rsid w:val="008C4958"/>
    <w:rsid w:val="008C4BAA"/>
    <w:rsid w:val="008C586D"/>
    <w:rsid w:val="008C5FA1"/>
    <w:rsid w:val="008C68D0"/>
    <w:rsid w:val="008C6AE8"/>
    <w:rsid w:val="008C7573"/>
    <w:rsid w:val="008C76FE"/>
    <w:rsid w:val="008D0655"/>
    <w:rsid w:val="008D0BFB"/>
    <w:rsid w:val="008D0CE9"/>
    <w:rsid w:val="008D0EFD"/>
    <w:rsid w:val="008D1AE6"/>
    <w:rsid w:val="008D2755"/>
    <w:rsid w:val="008D27D3"/>
    <w:rsid w:val="008D34F1"/>
    <w:rsid w:val="008D3669"/>
    <w:rsid w:val="008D39D8"/>
    <w:rsid w:val="008D4336"/>
    <w:rsid w:val="008D6AF5"/>
    <w:rsid w:val="008D6CCC"/>
    <w:rsid w:val="008D6D1A"/>
    <w:rsid w:val="008E065E"/>
    <w:rsid w:val="008E0927"/>
    <w:rsid w:val="008E1909"/>
    <w:rsid w:val="008E1B93"/>
    <w:rsid w:val="008E1D88"/>
    <w:rsid w:val="008E2E72"/>
    <w:rsid w:val="008E3445"/>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77F"/>
    <w:rsid w:val="008F526C"/>
    <w:rsid w:val="008F5482"/>
    <w:rsid w:val="008F55FE"/>
    <w:rsid w:val="008F6C3F"/>
    <w:rsid w:val="008F7E0F"/>
    <w:rsid w:val="00902350"/>
    <w:rsid w:val="0090336B"/>
    <w:rsid w:val="00904376"/>
    <w:rsid w:val="00904C76"/>
    <w:rsid w:val="009053AA"/>
    <w:rsid w:val="00906939"/>
    <w:rsid w:val="0090795F"/>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A69"/>
    <w:rsid w:val="00924D2F"/>
    <w:rsid w:val="009250F4"/>
    <w:rsid w:val="009270E9"/>
    <w:rsid w:val="00927F40"/>
    <w:rsid w:val="0093103F"/>
    <w:rsid w:val="00931BD9"/>
    <w:rsid w:val="00934DF8"/>
    <w:rsid w:val="00935316"/>
    <w:rsid w:val="0093601A"/>
    <w:rsid w:val="00936851"/>
    <w:rsid w:val="009368F3"/>
    <w:rsid w:val="00936BBF"/>
    <w:rsid w:val="00937C25"/>
    <w:rsid w:val="0094074E"/>
    <w:rsid w:val="00940772"/>
    <w:rsid w:val="009414FD"/>
    <w:rsid w:val="00941636"/>
    <w:rsid w:val="0094346C"/>
    <w:rsid w:val="00943742"/>
    <w:rsid w:val="00945C05"/>
    <w:rsid w:val="00946945"/>
    <w:rsid w:val="00947179"/>
    <w:rsid w:val="00947588"/>
    <w:rsid w:val="00947713"/>
    <w:rsid w:val="00947B01"/>
    <w:rsid w:val="00947D91"/>
    <w:rsid w:val="0095044A"/>
    <w:rsid w:val="009506F9"/>
    <w:rsid w:val="00950DE7"/>
    <w:rsid w:val="00950FBF"/>
    <w:rsid w:val="0095150A"/>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5997"/>
    <w:rsid w:val="0097603D"/>
    <w:rsid w:val="009765E4"/>
    <w:rsid w:val="009768D2"/>
    <w:rsid w:val="00976949"/>
    <w:rsid w:val="00976E5E"/>
    <w:rsid w:val="00980477"/>
    <w:rsid w:val="009818AD"/>
    <w:rsid w:val="00984217"/>
    <w:rsid w:val="00985253"/>
    <w:rsid w:val="009853B3"/>
    <w:rsid w:val="00985CBE"/>
    <w:rsid w:val="00987FD9"/>
    <w:rsid w:val="00990630"/>
    <w:rsid w:val="00991761"/>
    <w:rsid w:val="009932E4"/>
    <w:rsid w:val="00993727"/>
    <w:rsid w:val="00994DCA"/>
    <w:rsid w:val="00995585"/>
    <w:rsid w:val="009960EC"/>
    <w:rsid w:val="00996D46"/>
    <w:rsid w:val="009970DD"/>
    <w:rsid w:val="00997687"/>
    <w:rsid w:val="009A0F56"/>
    <w:rsid w:val="009A0FBA"/>
    <w:rsid w:val="009A1601"/>
    <w:rsid w:val="009A16D6"/>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7E87"/>
    <w:rsid w:val="009C14EF"/>
    <w:rsid w:val="009C1E87"/>
    <w:rsid w:val="009C25D6"/>
    <w:rsid w:val="009C2A60"/>
    <w:rsid w:val="009C3487"/>
    <w:rsid w:val="009C35BB"/>
    <w:rsid w:val="009C403E"/>
    <w:rsid w:val="009C4EDC"/>
    <w:rsid w:val="009C527F"/>
    <w:rsid w:val="009C6467"/>
    <w:rsid w:val="009C748E"/>
    <w:rsid w:val="009D0B72"/>
    <w:rsid w:val="009D1618"/>
    <w:rsid w:val="009D28C4"/>
    <w:rsid w:val="009D352C"/>
    <w:rsid w:val="009D43AC"/>
    <w:rsid w:val="009D4FF0"/>
    <w:rsid w:val="009D5983"/>
    <w:rsid w:val="009D5E2A"/>
    <w:rsid w:val="009D69C0"/>
    <w:rsid w:val="009D6FB0"/>
    <w:rsid w:val="009D703C"/>
    <w:rsid w:val="009D718F"/>
    <w:rsid w:val="009D7E8C"/>
    <w:rsid w:val="009E0248"/>
    <w:rsid w:val="009E0642"/>
    <w:rsid w:val="009E068F"/>
    <w:rsid w:val="009E148B"/>
    <w:rsid w:val="009E14E0"/>
    <w:rsid w:val="009E35DB"/>
    <w:rsid w:val="009E47A3"/>
    <w:rsid w:val="009E537B"/>
    <w:rsid w:val="009E5902"/>
    <w:rsid w:val="009E6AA6"/>
    <w:rsid w:val="009E6AC2"/>
    <w:rsid w:val="009E6F0C"/>
    <w:rsid w:val="009F072A"/>
    <w:rsid w:val="009F08F3"/>
    <w:rsid w:val="009F0D5B"/>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CA2"/>
    <w:rsid w:val="00A11123"/>
    <w:rsid w:val="00A1175D"/>
    <w:rsid w:val="00A11AB7"/>
    <w:rsid w:val="00A1305E"/>
    <w:rsid w:val="00A137FD"/>
    <w:rsid w:val="00A13991"/>
    <w:rsid w:val="00A13E54"/>
    <w:rsid w:val="00A14162"/>
    <w:rsid w:val="00A14696"/>
    <w:rsid w:val="00A1595C"/>
    <w:rsid w:val="00A17F63"/>
    <w:rsid w:val="00A201BE"/>
    <w:rsid w:val="00A2193B"/>
    <w:rsid w:val="00A2351A"/>
    <w:rsid w:val="00A23945"/>
    <w:rsid w:val="00A24365"/>
    <w:rsid w:val="00A249D6"/>
    <w:rsid w:val="00A25BF5"/>
    <w:rsid w:val="00A25F70"/>
    <w:rsid w:val="00A264A9"/>
    <w:rsid w:val="00A27291"/>
    <w:rsid w:val="00A2747F"/>
    <w:rsid w:val="00A27785"/>
    <w:rsid w:val="00A30187"/>
    <w:rsid w:val="00A305DE"/>
    <w:rsid w:val="00A31044"/>
    <w:rsid w:val="00A320BF"/>
    <w:rsid w:val="00A3448A"/>
    <w:rsid w:val="00A34C43"/>
    <w:rsid w:val="00A35099"/>
    <w:rsid w:val="00A351A8"/>
    <w:rsid w:val="00A36031"/>
    <w:rsid w:val="00A36297"/>
    <w:rsid w:val="00A36B2A"/>
    <w:rsid w:val="00A3750E"/>
    <w:rsid w:val="00A3751A"/>
    <w:rsid w:val="00A37BAF"/>
    <w:rsid w:val="00A4191F"/>
    <w:rsid w:val="00A41D4C"/>
    <w:rsid w:val="00A41E2B"/>
    <w:rsid w:val="00A42139"/>
    <w:rsid w:val="00A42503"/>
    <w:rsid w:val="00A44522"/>
    <w:rsid w:val="00A44B11"/>
    <w:rsid w:val="00A45B74"/>
    <w:rsid w:val="00A4647F"/>
    <w:rsid w:val="00A46626"/>
    <w:rsid w:val="00A50F35"/>
    <w:rsid w:val="00A50FA9"/>
    <w:rsid w:val="00A51116"/>
    <w:rsid w:val="00A521B4"/>
    <w:rsid w:val="00A52E1D"/>
    <w:rsid w:val="00A546D3"/>
    <w:rsid w:val="00A55451"/>
    <w:rsid w:val="00A55F73"/>
    <w:rsid w:val="00A56D3F"/>
    <w:rsid w:val="00A571A6"/>
    <w:rsid w:val="00A60109"/>
    <w:rsid w:val="00A60917"/>
    <w:rsid w:val="00A61499"/>
    <w:rsid w:val="00A622C6"/>
    <w:rsid w:val="00A62A77"/>
    <w:rsid w:val="00A63483"/>
    <w:rsid w:val="00A63D17"/>
    <w:rsid w:val="00A6446C"/>
    <w:rsid w:val="00A654D6"/>
    <w:rsid w:val="00A657D7"/>
    <w:rsid w:val="00A65935"/>
    <w:rsid w:val="00A65E5A"/>
    <w:rsid w:val="00A660AC"/>
    <w:rsid w:val="00A660F6"/>
    <w:rsid w:val="00A670A6"/>
    <w:rsid w:val="00A67E6C"/>
    <w:rsid w:val="00A70C59"/>
    <w:rsid w:val="00A71B99"/>
    <w:rsid w:val="00A71D6C"/>
    <w:rsid w:val="00A72C8A"/>
    <w:rsid w:val="00A739D0"/>
    <w:rsid w:val="00A749DC"/>
    <w:rsid w:val="00A74E64"/>
    <w:rsid w:val="00A758C5"/>
    <w:rsid w:val="00A7599C"/>
    <w:rsid w:val="00A759B0"/>
    <w:rsid w:val="00A761D4"/>
    <w:rsid w:val="00A76696"/>
    <w:rsid w:val="00A77DB9"/>
    <w:rsid w:val="00A77EC4"/>
    <w:rsid w:val="00A80BAB"/>
    <w:rsid w:val="00A80F11"/>
    <w:rsid w:val="00A8196E"/>
    <w:rsid w:val="00A83E3C"/>
    <w:rsid w:val="00A8470F"/>
    <w:rsid w:val="00A85970"/>
    <w:rsid w:val="00A863CA"/>
    <w:rsid w:val="00A9043E"/>
    <w:rsid w:val="00A90F30"/>
    <w:rsid w:val="00A92879"/>
    <w:rsid w:val="00A93F17"/>
    <w:rsid w:val="00A9442A"/>
    <w:rsid w:val="00A946BC"/>
    <w:rsid w:val="00A94B56"/>
    <w:rsid w:val="00A96CC6"/>
    <w:rsid w:val="00AA016F"/>
    <w:rsid w:val="00AA0955"/>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3119"/>
    <w:rsid w:val="00AC3D18"/>
    <w:rsid w:val="00AC3E0C"/>
    <w:rsid w:val="00AC49FB"/>
    <w:rsid w:val="00AC5A10"/>
    <w:rsid w:val="00AC6E95"/>
    <w:rsid w:val="00AD0348"/>
    <w:rsid w:val="00AD0AA3"/>
    <w:rsid w:val="00AD1B8B"/>
    <w:rsid w:val="00AD2EF2"/>
    <w:rsid w:val="00AD3168"/>
    <w:rsid w:val="00AD3F94"/>
    <w:rsid w:val="00AD47BA"/>
    <w:rsid w:val="00AD4A5A"/>
    <w:rsid w:val="00AD4E27"/>
    <w:rsid w:val="00AD6DA4"/>
    <w:rsid w:val="00AD78DC"/>
    <w:rsid w:val="00AD7F95"/>
    <w:rsid w:val="00AE0905"/>
    <w:rsid w:val="00AE27AC"/>
    <w:rsid w:val="00AE2B13"/>
    <w:rsid w:val="00AE40E0"/>
    <w:rsid w:val="00AE41A1"/>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B006FE"/>
    <w:rsid w:val="00B007CB"/>
    <w:rsid w:val="00B010BF"/>
    <w:rsid w:val="00B0175E"/>
    <w:rsid w:val="00B02AA9"/>
    <w:rsid w:val="00B02CF3"/>
    <w:rsid w:val="00B02FA3"/>
    <w:rsid w:val="00B03C4C"/>
    <w:rsid w:val="00B03D54"/>
    <w:rsid w:val="00B05084"/>
    <w:rsid w:val="00B05BA5"/>
    <w:rsid w:val="00B05C0C"/>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48FD"/>
    <w:rsid w:val="00B24D0A"/>
    <w:rsid w:val="00B25488"/>
    <w:rsid w:val="00B25603"/>
    <w:rsid w:val="00B25AB6"/>
    <w:rsid w:val="00B25D69"/>
    <w:rsid w:val="00B2605C"/>
    <w:rsid w:val="00B26FED"/>
    <w:rsid w:val="00B2763F"/>
    <w:rsid w:val="00B27AAC"/>
    <w:rsid w:val="00B30929"/>
    <w:rsid w:val="00B31239"/>
    <w:rsid w:val="00B31867"/>
    <w:rsid w:val="00B33C5A"/>
    <w:rsid w:val="00B34AC3"/>
    <w:rsid w:val="00B34CAF"/>
    <w:rsid w:val="00B35A87"/>
    <w:rsid w:val="00B35AA8"/>
    <w:rsid w:val="00B372AA"/>
    <w:rsid w:val="00B40445"/>
    <w:rsid w:val="00B40ECB"/>
    <w:rsid w:val="00B41888"/>
    <w:rsid w:val="00B41DF0"/>
    <w:rsid w:val="00B42BDB"/>
    <w:rsid w:val="00B433FD"/>
    <w:rsid w:val="00B45A52"/>
    <w:rsid w:val="00B45CE5"/>
    <w:rsid w:val="00B46175"/>
    <w:rsid w:val="00B474B4"/>
    <w:rsid w:val="00B51BFF"/>
    <w:rsid w:val="00B51F19"/>
    <w:rsid w:val="00B529E1"/>
    <w:rsid w:val="00B548DA"/>
    <w:rsid w:val="00B5748F"/>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B6C"/>
    <w:rsid w:val="00B750E6"/>
    <w:rsid w:val="00B75759"/>
    <w:rsid w:val="00B7591A"/>
    <w:rsid w:val="00B763BE"/>
    <w:rsid w:val="00B805EE"/>
    <w:rsid w:val="00B81A6C"/>
    <w:rsid w:val="00B81FDF"/>
    <w:rsid w:val="00B837ED"/>
    <w:rsid w:val="00B85DE5"/>
    <w:rsid w:val="00B871FA"/>
    <w:rsid w:val="00B90158"/>
    <w:rsid w:val="00B90580"/>
    <w:rsid w:val="00B907EA"/>
    <w:rsid w:val="00B90F73"/>
    <w:rsid w:val="00B92627"/>
    <w:rsid w:val="00B926D6"/>
    <w:rsid w:val="00B93B59"/>
    <w:rsid w:val="00B9406A"/>
    <w:rsid w:val="00B94FE7"/>
    <w:rsid w:val="00B959EC"/>
    <w:rsid w:val="00B97893"/>
    <w:rsid w:val="00B97D9D"/>
    <w:rsid w:val="00BA04E2"/>
    <w:rsid w:val="00BA06E9"/>
    <w:rsid w:val="00BA109E"/>
    <w:rsid w:val="00BA1611"/>
    <w:rsid w:val="00BA1FE5"/>
    <w:rsid w:val="00BA2280"/>
    <w:rsid w:val="00BA2A08"/>
    <w:rsid w:val="00BA46F3"/>
    <w:rsid w:val="00BA5641"/>
    <w:rsid w:val="00BA56D2"/>
    <w:rsid w:val="00BA5AF0"/>
    <w:rsid w:val="00BA76E0"/>
    <w:rsid w:val="00BA7E6B"/>
    <w:rsid w:val="00BB07C9"/>
    <w:rsid w:val="00BB23F2"/>
    <w:rsid w:val="00BB2A25"/>
    <w:rsid w:val="00BB2CC0"/>
    <w:rsid w:val="00BB346D"/>
    <w:rsid w:val="00BB40A1"/>
    <w:rsid w:val="00BB51BB"/>
    <w:rsid w:val="00BB51E9"/>
    <w:rsid w:val="00BB6747"/>
    <w:rsid w:val="00BB79B5"/>
    <w:rsid w:val="00BB7B51"/>
    <w:rsid w:val="00BC0C69"/>
    <w:rsid w:val="00BC0E6A"/>
    <w:rsid w:val="00BC0FDC"/>
    <w:rsid w:val="00BC1802"/>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20C7"/>
    <w:rsid w:val="00BF3279"/>
    <w:rsid w:val="00BF51E3"/>
    <w:rsid w:val="00BF74C7"/>
    <w:rsid w:val="00BF7A0D"/>
    <w:rsid w:val="00BF7CCA"/>
    <w:rsid w:val="00C00DEB"/>
    <w:rsid w:val="00C015F1"/>
    <w:rsid w:val="00C0173E"/>
    <w:rsid w:val="00C01973"/>
    <w:rsid w:val="00C01F33"/>
    <w:rsid w:val="00C02B93"/>
    <w:rsid w:val="00C02BA1"/>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6235"/>
    <w:rsid w:val="00C20190"/>
    <w:rsid w:val="00C2088D"/>
    <w:rsid w:val="00C2229A"/>
    <w:rsid w:val="00C223E6"/>
    <w:rsid w:val="00C23175"/>
    <w:rsid w:val="00C23528"/>
    <w:rsid w:val="00C23D37"/>
    <w:rsid w:val="00C24DFB"/>
    <w:rsid w:val="00C26FAA"/>
    <w:rsid w:val="00C276D5"/>
    <w:rsid w:val="00C279B5"/>
    <w:rsid w:val="00C27C45"/>
    <w:rsid w:val="00C27E0C"/>
    <w:rsid w:val="00C30437"/>
    <w:rsid w:val="00C308DA"/>
    <w:rsid w:val="00C30A40"/>
    <w:rsid w:val="00C30F69"/>
    <w:rsid w:val="00C31ED1"/>
    <w:rsid w:val="00C34167"/>
    <w:rsid w:val="00C357AB"/>
    <w:rsid w:val="00C3719D"/>
    <w:rsid w:val="00C372D0"/>
    <w:rsid w:val="00C40753"/>
    <w:rsid w:val="00C41A9D"/>
    <w:rsid w:val="00C426F4"/>
    <w:rsid w:val="00C43872"/>
    <w:rsid w:val="00C43E64"/>
    <w:rsid w:val="00C44AE7"/>
    <w:rsid w:val="00C4565B"/>
    <w:rsid w:val="00C45B3B"/>
    <w:rsid w:val="00C4615B"/>
    <w:rsid w:val="00C465CD"/>
    <w:rsid w:val="00C4791A"/>
    <w:rsid w:val="00C47A84"/>
    <w:rsid w:val="00C53303"/>
    <w:rsid w:val="00C536F2"/>
    <w:rsid w:val="00C54995"/>
    <w:rsid w:val="00C54D41"/>
    <w:rsid w:val="00C5561A"/>
    <w:rsid w:val="00C5639D"/>
    <w:rsid w:val="00C56496"/>
    <w:rsid w:val="00C565A9"/>
    <w:rsid w:val="00C600A7"/>
    <w:rsid w:val="00C601D0"/>
    <w:rsid w:val="00C60783"/>
    <w:rsid w:val="00C609B9"/>
    <w:rsid w:val="00C60E2B"/>
    <w:rsid w:val="00C60FF3"/>
    <w:rsid w:val="00C61546"/>
    <w:rsid w:val="00C635A9"/>
    <w:rsid w:val="00C644F7"/>
    <w:rsid w:val="00C64672"/>
    <w:rsid w:val="00C65F71"/>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B92"/>
    <w:rsid w:val="00C840FF"/>
    <w:rsid w:val="00C856D5"/>
    <w:rsid w:val="00C8674E"/>
    <w:rsid w:val="00C86CF7"/>
    <w:rsid w:val="00C87CDD"/>
    <w:rsid w:val="00C9027A"/>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33B"/>
    <w:rsid w:val="00CA0805"/>
    <w:rsid w:val="00CA0A10"/>
    <w:rsid w:val="00CA1ED8"/>
    <w:rsid w:val="00CA321C"/>
    <w:rsid w:val="00CA3D5E"/>
    <w:rsid w:val="00CA628D"/>
    <w:rsid w:val="00CA6CFD"/>
    <w:rsid w:val="00CB0DE9"/>
    <w:rsid w:val="00CB1D43"/>
    <w:rsid w:val="00CB1F63"/>
    <w:rsid w:val="00CB3551"/>
    <w:rsid w:val="00CB4695"/>
    <w:rsid w:val="00CB53D7"/>
    <w:rsid w:val="00CB585C"/>
    <w:rsid w:val="00CB59A0"/>
    <w:rsid w:val="00CB5DB2"/>
    <w:rsid w:val="00CB7170"/>
    <w:rsid w:val="00CB7D73"/>
    <w:rsid w:val="00CC040E"/>
    <w:rsid w:val="00CC0812"/>
    <w:rsid w:val="00CC0818"/>
    <w:rsid w:val="00CC1083"/>
    <w:rsid w:val="00CC111F"/>
    <w:rsid w:val="00CC2011"/>
    <w:rsid w:val="00CC32C8"/>
    <w:rsid w:val="00CC337B"/>
    <w:rsid w:val="00CC3879"/>
    <w:rsid w:val="00CC3EA0"/>
    <w:rsid w:val="00CC4FF9"/>
    <w:rsid w:val="00CC594A"/>
    <w:rsid w:val="00CC5999"/>
    <w:rsid w:val="00CC6397"/>
    <w:rsid w:val="00CC6424"/>
    <w:rsid w:val="00CC7B45"/>
    <w:rsid w:val="00CD0835"/>
    <w:rsid w:val="00CD0BA3"/>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10F"/>
    <w:rsid w:val="00CE3DF2"/>
    <w:rsid w:val="00CE5905"/>
    <w:rsid w:val="00CE6616"/>
    <w:rsid w:val="00CE6B68"/>
    <w:rsid w:val="00CE6C99"/>
    <w:rsid w:val="00CE70C0"/>
    <w:rsid w:val="00CE7561"/>
    <w:rsid w:val="00CF1354"/>
    <w:rsid w:val="00CF2106"/>
    <w:rsid w:val="00CF227E"/>
    <w:rsid w:val="00CF2456"/>
    <w:rsid w:val="00CF25C9"/>
    <w:rsid w:val="00CF3332"/>
    <w:rsid w:val="00CF3794"/>
    <w:rsid w:val="00CF3B1F"/>
    <w:rsid w:val="00CF3BF6"/>
    <w:rsid w:val="00CF46BC"/>
    <w:rsid w:val="00CF4E77"/>
    <w:rsid w:val="00CF50AB"/>
    <w:rsid w:val="00CF55EF"/>
    <w:rsid w:val="00CF57F3"/>
    <w:rsid w:val="00CF5A48"/>
    <w:rsid w:val="00CF625B"/>
    <w:rsid w:val="00CF6341"/>
    <w:rsid w:val="00CF64AF"/>
    <w:rsid w:val="00CF687E"/>
    <w:rsid w:val="00CF7216"/>
    <w:rsid w:val="00CF7673"/>
    <w:rsid w:val="00D00339"/>
    <w:rsid w:val="00D0194F"/>
    <w:rsid w:val="00D0252F"/>
    <w:rsid w:val="00D0339E"/>
    <w:rsid w:val="00D0349B"/>
    <w:rsid w:val="00D03CA0"/>
    <w:rsid w:val="00D03CBF"/>
    <w:rsid w:val="00D04434"/>
    <w:rsid w:val="00D07927"/>
    <w:rsid w:val="00D1001F"/>
    <w:rsid w:val="00D10249"/>
    <w:rsid w:val="00D115C3"/>
    <w:rsid w:val="00D11897"/>
    <w:rsid w:val="00D13135"/>
    <w:rsid w:val="00D137CD"/>
    <w:rsid w:val="00D13ABF"/>
    <w:rsid w:val="00D13E4E"/>
    <w:rsid w:val="00D15089"/>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170C"/>
    <w:rsid w:val="00D32166"/>
    <w:rsid w:val="00D33583"/>
    <w:rsid w:val="00D344A3"/>
    <w:rsid w:val="00D34D11"/>
    <w:rsid w:val="00D35234"/>
    <w:rsid w:val="00D35EC2"/>
    <w:rsid w:val="00D36E71"/>
    <w:rsid w:val="00D37345"/>
    <w:rsid w:val="00D37D87"/>
    <w:rsid w:val="00D40B33"/>
    <w:rsid w:val="00D42432"/>
    <w:rsid w:val="00D4318F"/>
    <w:rsid w:val="00D438BF"/>
    <w:rsid w:val="00D440F8"/>
    <w:rsid w:val="00D4465F"/>
    <w:rsid w:val="00D44E9F"/>
    <w:rsid w:val="00D45637"/>
    <w:rsid w:val="00D46FA5"/>
    <w:rsid w:val="00D47676"/>
    <w:rsid w:val="00D51446"/>
    <w:rsid w:val="00D51588"/>
    <w:rsid w:val="00D524F0"/>
    <w:rsid w:val="00D5259D"/>
    <w:rsid w:val="00D546FF"/>
    <w:rsid w:val="00D55AD5"/>
    <w:rsid w:val="00D55B51"/>
    <w:rsid w:val="00D55C96"/>
    <w:rsid w:val="00D56352"/>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F30"/>
    <w:rsid w:val="00D75A4C"/>
    <w:rsid w:val="00D76603"/>
    <w:rsid w:val="00D76F86"/>
    <w:rsid w:val="00D77B1D"/>
    <w:rsid w:val="00D8021F"/>
    <w:rsid w:val="00D80383"/>
    <w:rsid w:val="00D80AC9"/>
    <w:rsid w:val="00D815D6"/>
    <w:rsid w:val="00D81C48"/>
    <w:rsid w:val="00D8203B"/>
    <w:rsid w:val="00D823C6"/>
    <w:rsid w:val="00D855A3"/>
    <w:rsid w:val="00D85EF7"/>
    <w:rsid w:val="00D86C60"/>
    <w:rsid w:val="00D86CA3"/>
    <w:rsid w:val="00D871CE"/>
    <w:rsid w:val="00D87705"/>
    <w:rsid w:val="00D90803"/>
    <w:rsid w:val="00D9080F"/>
    <w:rsid w:val="00D918A9"/>
    <w:rsid w:val="00D9196D"/>
    <w:rsid w:val="00D91BEA"/>
    <w:rsid w:val="00D920A7"/>
    <w:rsid w:val="00D92982"/>
    <w:rsid w:val="00D9303F"/>
    <w:rsid w:val="00D933E0"/>
    <w:rsid w:val="00D93B14"/>
    <w:rsid w:val="00D95A22"/>
    <w:rsid w:val="00D95C41"/>
    <w:rsid w:val="00D965C0"/>
    <w:rsid w:val="00D96A27"/>
    <w:rsid w:val="00D96C99"/>
    <w:rsid w:val="00DA0701"/>
    <w:rsid w:val="00DA07BF"/>
    <w:rsid w:val="00DA15F4"/>
    <w:rsid w:val="00DA305E"/>
    <w:rsid w:val="00DA3E28"/>
    <w:rsid w:val="00DA5007"/>
    <w:rsid w:val="00DA5417"/>
    <w:rsid w:val="00DA56E8"/>
    <w:rsid w:val="00DA5DEA"/>
    <w:rsid w:val="00DA67A6"/>
    <w:rsid w:val="00DB06D8"/>
    <w:rsid w:val="00DB0A35"/>
    <w:rsid w:val="00DB0A9F"/>
    <w:rsid w:val="00DB0D4F"/>
    <w:rsid w:val="00DB24E7"/>
    <w:rsid w:val="00DB377D"/>
    <w:rsid w:val="00DB4C82"/>
    <w:rsid w:val="00DB4E1B"/>
    <w:rsid w:val="00DB4ECB"/>
    <w:rsid w:val="00DB5B21"/>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EA"/>
    <w:rsid w:val="00DD0792"/>
    <w:rsid w:val="00DD0DB7"/>
    <w:rsid w:val="00DD2B9C"/>
    <w:rsid w:val="00DD3A35"/>
    <w:rsid w:val="00DD71F6"/>
    <w:rsid w:val="00DD7867"/>
    <w:rsid w:val="00DE1A17"/>
    <w:rsid w:val="00DE3A33"/>
    <w:rsid w:val="00DE3B7F"/>
    <w:rsid w:val="00DE42C3"/>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6ED"/>
    <w:rsid w:val="00E11B20"/>
    <w:rsid w:val="00E156FA"/>
    <w:rsid w:val="00E15D1F"/>
    <w:rsid w:val="00E16088"/>
    <w:rsid w:val="00E171B5"/>
    <w:rsid w:val="00E174CA"/>
    <w:rsid w:val="00E17970"/>
    <w:rsid w:val="00E179FC"/>
    <w:rsid w:val="00E17B45"/>
    <w:rsid w:val="00E17FA2"/>
    <w:rsid w:val="00E20610"/>
    <w:rsid w:val="00E213A8"/>
    <w:rsid w:val="00E22330"/>
    <w:rsid w:val="00E23045"/>
    <w:rsid w:val="00E25B80"/>
    <w:rsid w:val="00E2667C"/>
    <w:rsid w:val="00E26CD5"/>
    <w:rsid w:val="00E30926"/>
    <w:rsid w:val="00E30B5A"/>
    <w:rsid w:val="00E3123D"/>
    <w:rsid w:val="00E31436"/>
    <w:rsid w:val="00E31461"/>
    <w:rsid w:val="00E31C0F"/>
    <w:rsid w:val="00E31D43"/>
    <w:rsid w:val="00E3260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1ACB"/>
    <w:rsid w:val="00E52E6B"/>
    <w:rsid w:val="00E53B29"/>
    <w:rsid w:val="00E53B75"/>
    <w:rsid w:val="00E54B05"/>
    <w:rsid w:val="00E54B22"/>
    <w:rsid w:val="00E54E3B"/>
    <w:rsid w:val="00E550B1"/>
    <w:rsid w:val="00E557CC"/>
    <w:rsid w:val="00E57003"/>
    <w:rsid w:val="00E571CE"/>
    <w:rsid w:val="00E57565"/>
    <w:rsid w:val="00E578E1"/>
    <w:rsid w:val="00E57A1C"/>
    <w:rsid w:val="00E60323"/>
    <w:rsid w:val="00E604AE"/>
    <w:rsid w:val="00E61DCB"/>
    <w:rsid w:val="00E62F82"/>
    <w:rsid w:val="00E63838"/>
    <w:rsid w:val="00E64434"/>
    <w:rsid w:val="00E6618B"/>
    <w:rsid w:val="00E67C51"/>
    <w:rsid w:val="00E70D86"/>
    <w:rsid w:val="00E711FC"/>
    <w:rsid w:val="00E71FD2"/>
    <w:rsid w:val="00E72EFC"/>
    <w:rsid w:val="00E72FC5"/>
    <w:rsid w:val="00E731CE"/>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4CD3"/>
    <w:rsid w:val="00EA59B3"/>
    <w:rsid w:val="00EA5B73"/>
    <w:rsid w:val="00EA6A36"/>
    <w:rsid w:val="00EA6E0E"/>
    <w:rsid w:val="00EA7389"/>
    <w:rsid w:val="00EA7A41"/>
    <w:rsid w:val="00EA7DC4"/>
    <w:rsid w:val="00EB077B"/>
    <w:rsid w:val="00EB1366"/>
    <w:rsid w:val="00EB2A5D"/>
    <w:rsid w:val="00EB3351"/>
    <w:rsid w:val="00EB48FC"/>
    <w:rsid w:val="00EB4EA2"/>
    <w:rsid w:val="00EB62EC"/>
    <w:rsid w:val="00EB6361"/>
    <w:rsid w:val="00EB7255"/>
    <w:rsid w:val="00EB7F3C"/>
    <w:rsid w:val="00EC25D2"/>
    <w:rsid w:val="00EC27C6"/>
    <w:rsid w:val="00EC38A0"/>
    <w:rsid w:val="00EC4207"/>
    <w:rsid w:val="00EC491A"/>
    <w:rsid w:val="00EC4A0B"/>
    <w:rsid w:val="00EC4A1E"/>
    <w:rsid w:val="00EC4C96"/>
    <w:rsid w:val="00EC4CB4"/>
    <w:rsid w:val="00EC5005"/>
    <w:rsid w:val="00EC5653"/>
    <w:rsid w:val="00EC5BEA"/>
    <w:rsid w:val="00EC60B5"/>
    <w:rsid w:val="00EC66AD"/>
    <w:rsid w:val="00EC66B4"/>
    <w:rsid w:val="00EC71CE"/>
    <w:rsid w:val="00EC7304"/>
    <w:rsid w:val="00ED0750"/>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F0038"/>
    <w:rsid w:val="00EF04DD"/>
    <w:rsid w:val="00EF10BC"/>
    <w:rsid w:val="00EF14F7"/>
    <w:rsid w:val="00EF18FE"/>
    <w:rsid w:val="00EF25F3"/>
    <w:rsid w:val="00EF2E6C"/>
    <w:rsid w:val="00EF2F9E"/>
    <w:rsid w:val="00EF5787"/>
    <w:rsid w:val="00EF60D0"/>
    <w:rsid w:val="00EF6D14"/>
    <w:rsid w:val="00EF7136"/>
    <w:rsid w:val="00F0201B"/>
    <w:rsid w:val="00F03BE6"/>
    <w:rsid w:val="00F0528D"/>
    <w:rsid w:val="00F05EE8"/>
    <w:rsid w:val="00F06C67"/>
    <w:rsid w:val="00F06DFD"/>
    <w:rsid w:val="00F071D1"/>
    <w:rsid w:val="00F07533"/>
    <w:rsid w:val="00F10629"/>
    <w:rsid w:val="00F1551D"/>
    <w:rsid w:val="00F1556E"/>
    <w:rsid w:val="00F15F1E"/>
    <w:rsid w:val="00F15FA5"/>
    <w:rsid w:val="00F1625B"/>
    <w:rsid w:val="00F1741C"/>
    <w:rsid w:val="00F20701"/>
    <w:rsid w:val="00F209B7"/>
    <w:rsid w:val="00F21C47"/>
    <w:rsid w:val="00F23201"/>
    <w:rsid w:val="00F2376F"/>
    <w:rsid w:val="00F243D8"/>
    <w:rsid w:val="00F24E55"/>
    <w:rsid w:val="00F25D80"/>
    <w:rsid w:val="00F26AFC"/>
    <w:rsid w:val="00F26DEE"/>
    <w:rsid w:val="00F30828"/>
    <w:rsid w:val="00F30E66"/>
    <w:rsid w:val="00F313D6"/>
    <w:rsid w:val="00F31E10"/>
    <w:rsid w:val="00F32532"/>
    <w:rsid w:val="00F326FD"/>
    <w:rsid w:val="00F32C1A"/>
    <w:rsid w:val="00F32C68"/>
    <w:rsid w:val="00F33DF2"/>
    <w:rsid w:val="00F34D6D"/>
    <w:rsid w:val="00F35DC6"/>
    <w:rsid w:val="00F40806"/>
    <w:rsid w:val="00F40F0C"/>
    <w:rsid w:val="00F41508"/>
    <w:rsid w:val="00F4299D"/>
    <w:rsid w:val="00F42AC8"/>
    <w:rsid w:val="00F4350D"/>
    <w:rsid w:val="00F4352A"/>
    <w:rsid w:val="00F45A29"/>
    <w:rsid w:val="00F4619E"/>
    <w:rsid w:val="00F4766C"/>
    <w:rsid w:val="00F478EB"/>
    <w:rsid w:val="00F47D9C"/>
    <w:rsid w:val="00F50402"/>
    <w:rsid w:val="00F507D1"/>
    <w:rsid w:val="00F509B1"/>
    <w:rsid w:val="00F519CE"/>
    <w:rsid w:val="00F51ADA"/>
    <w:rsid w:val="00F51CB3"/>
    <w:rsid w:val="00F53872"/>
    <w:rsid w:val="00F54C67"/>
    <w:rsid w:val="00F5501A"/>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4BB9"/>
    <w:rsid w:val="00F75582"/>
    <w:rsid w:val="00F759C6"/>
    <w:rsid w:val="00F75A7F"/>
    <w:rsid w:val="00F76A5B"/>
    <w:rsid w:val="00F76EFA"/>
    <w:rsid w:val="00F772AF"/>
    <w:rsid w:val="00F77629"/>
    <w:rsid w:val="00F804BE"/>
    <w:rsid w:val="00F81631"/>
    <w:rsid w:val="00F817CE"/>
    <w:rsid w:val="00F823A1"/>
    <w:rsid w:val="00F84530"/>
    <w:rsid w:val="00F8456C"/>
    <w:rsid w:val="00F84884"/>
    <w:rsid w:val="00F859D8"/>
    <w:rsid w:val="00F868F5"/>
    <w:rsid w:val="00F904C3"/>
    <w:rsid w:val="00F9056A"/>
    <w:rsid w:val="00F9083B"/>
    <w:rsid w:val="00F90F8D"/>
    <w:rsid w:val="00F9147E"/>
    <w:rsid w:val="00F92782"/>
    <w:rsid w:val="00F93121"/>
    <w:rsid w:val="00F93960"/>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E14"/>
    <w:rsid w:val="00FD07F6"/>
    <w:rsid w:val="00FD14F7"/>
    <w:rsid w:val="00FD1D12"/>
    <w:rsid w:val="00FD1EC8"/>
    <w:rsid w:val="00FD20E5"/>
    <w:rsid w:val="00FD3FB3"/>
    <w:rsid w:val="00FD47ED"/>
    <w:rsid w:val="00FD4A87"/>
    <w:rsid w:val="00FD7449"/>
    <w:rsid w:val="00FD74DB"/>
    <w:rsid w:val="00FD7660"/>
    <w:rsid w:val="00FE0655"/>
    <w:rsid w:val="00FE1440"/>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2BB"/>
    <w:rsid w:val="00FF1E31"/>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40E"/>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E24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240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uiPriority w:val="99"/>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uiPriority w:val="99"/>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527178600">
      <w:bodyDiv w:val="1"/>
      <w:marLeft w:val="0"/>
      <w:marRight w:val="0"/>
      <w:marTop w:val="0"/>
      <w:marBottom w:val="0"/>
      <w:divBdr>
        <w:top w:val="none" w:sz="0" w:space="0" w:color="auto"/>
        <w:left w:val="none" w:sz="0" w:space="0" w:color="auto"/>
        <w:bottom w:val="none" w:sz="0" w:space="0" w:color="auto"/>
        <w:right w:val="none" w:sz="0" w:space="0" w:color="auto"/>
      </w:divBdr>
      <w:divsChild>
        <w:div w:id="1380127489">
          <w:marLeft w:val="0"/>
          <w:marRight w:val="0"/>
          <w:marTop w:val="0"/>
          <w:marBottom w:val="0"/>
          <w:divBdr>
            <w:top w:val="none" w:sz="0" w:space="0" w:color="auto"/>
            <w:left w:val="none" w:sz="0" w:space="0" w:color="auto"/>
            <w:bottom w:val="none" w:sz="0" w:space="0" w:color="auto"/>
            <w:right w:val="none" w:sz="0" w:space="0" w:color="auto"/>
          </w:divBdr>
        </w:div>
      </w:divsChild>
    </w:div>
    <w:div w:id="67607552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158812585">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473A4E94-51B2-499B-8795-862D2E489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889</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Tao, Ming-Hung</cp:lastModifiedBy>
  <cp:revision>5</cp:revision>
  <cp:lastPrinted>2008-01-31T06:09:00Z</cp:lastPrinted>
  <dcterms:created xsi:type="dcterms:W3CDTF">2019-05-02T08:51:00Z</dcterms:created>
  <dcterms:modified xsi:type="dcterms:W3CDTF">2019-05-02T08:53:00Z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